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B98" w:rsidRPr="004D3863" w:rsidRDefault="00B22B98">
      <w:pPr>
        <w:spacing w:before="97"/>
        <w:ind w:right="5384"/>
        <w:rPr>
          <w:sz w:val="24"/>
          <w:szCs w:val="24"/>
        </w:rPr>
      </w:pPr>
    </w:p>
    <w:p w:rsidR="00B22B98" w:rsidRPr="004D3863" w:rsidRDefault="006A5DDF">
      <w:pPr>
        <w:spacing w:before="97"/>
        <w:ind w:right="5384"/>
        <w:rPr>
          <w:sz w:val="24"/>
          <w:szCs w:val="24"/>
        </w:rPr>
      </w:pPr>
      <w:r w:rsidRPr="004D3863">
        <w:rPr>
          <w:sz w:val="24"/>
          <w:szCs w:val="24"/>
        </w:rPr>
        <w:t>Bogotá D.C., 21 de mayo del 2025</w:t>
      </w:r>
    </w:p>
    <w:p w:rsidR="00B22B98" w:rsidRPr="004D3863" w:rsidRDefault="006A5DDF">
      <w:pPr>
        <w:spacing w:before="97"/>
        <w:ind w:right="5384"/>
        <w:rPr>
          <w:sz w:val="24"/>
          <w:szCs w:val="24"/>
        </w:rPr>
      </w:pPr>
      <w:r w:rsidRPr="004D3863">
        <w:rPr>
          <w:sz w:val="24"/>
          <w:szCs w:val="24"/>
        </w:rPr>
        <w:t>Doctora</w:t>
      </w:r>
    </w:p>
    <w:p w:rsidR="00B22B98" w:rsidRPr="004D3863" w:rsidRDefault="006A5DDF">
      <w:pPr>
        <w:spacing w:before="2" w:line="275" w:lineRule="auto"/>
        <w:rPr>
          <w:sz w:val="24"/>
          <w:szCs w:val="24"/>
        </w:rPr>
      </w:pPr>
      <w:r w:rsidRPr="004D3863">
        <w:rPr>
          <w:sz w:val="24"/>
          <w:szCs w:val="24"/>
        </w:rPr>
        <w:t>Liz Yadira</w:t>
      </w:r>
    </w:p>
    <w:p w:rsidR="00B22B98" w:rsidRPr="004D3863" w:rsidRDefault="006A5DDF">
      <w:pPr>
        <w:spacing w:line="242" w:lineRule="auto"/>
        <w:ind w:right="3945"/>
        <w:rPr>
          <w:sz w:val="24"/>
          <w:szCs w:val="24"/>
        </w:rPr>
      </w:pPr>
      <w:r w:rsidRPr="004D3863">
        <w:rPr>
          <w:sz w:val="24"/>
          <w:szCs w:val="24"/>
        </w:rPr>
        <w:t>Comisión Tercera de Hacienda</w:t>
      </w:r>
    </w:p>
    <w:p w:rsidR="00B22B98" w:rsidRPr="004D3863" w:rsidRDefault="006A5DDF">
      <w:pPr>
        <w:spacing w:line="271" w:lineRule="auto"/>
        <w:rPr>
          <w:sz w:val="24"/>
          <w:szCs w:val="24"/>
        </w:rPr>
      </w:pPr>
      <w:r w:rsidRPr="004D3863">
        <w:rPr>
          <w:sz w:val="24"/>
          <w:szCs w:val="24"/>
        </w:rPr>
        <w:t>Ciudad</w:t>
      </w:r>
    </w:p>
    <w:p w:rsidR="00B22B98" w:rsidRPr="004D3863" w:rsidRDefault="00B22B98">
      <w:pPr>
        <w:spacing w:before="104"/>
        <w:rPr>
          <w:sz w:val="24"/>
          <w:szCs w:val="24"/>
        </w:rPr>
      </w:pPr>
    </w:p>
    <w:p w:rsidR="00B22B98" w:rsidRPr="004D3863" w:rsidRDefault="006A5DDF">
      <w:pPr>
        <w:rPr>
          <w:sz w:val="24"/>
          <w:szCs w:val="24"/>
        </w:rPr>
      </w:pPr>
      <w:r w:rsidRPr="004D3863">
        <w:rPr>
          <w:b/>
          <w:sz w:val="24"/>
          <w:szCs w:val="24"/>
        </w:rPr>
        <w:t>Asunto:</w:t>
      </w:r>
      <w:r w:rsidRPr="004D3863">
        <w:rPr>
          <w:sz w:val="24"/>
          <w:szCs w:val="24"/>
        </w:rPr>
        <w:t xml:space="preserve"> Ponencia positiva con modificaciones para primer debate al Proyecto de Acuerdo No. 388 de 2025. </w:t>
      </w:r>
    </w:p>
    <w:p w:rsidR="00B22B98" w:rsidRPr="004D3863" w:rsidRDefault="00B22B98">
      <w:pPr>
        <w:rPr>
          <w:sz w:val="24"/>
          <w:szCs w:val="24"/>
        </w:rPr>
      </w:pPr>
    </w:p>
    <w:p w:rsidR="00B22B98" w:rsidRPr="004D3863" w:rsidRDefault="006A5DDF">
      <w:pPr>
        <w:rPr>
          <w:sz w:val="24"/>
          <w:szCs w:val="24"/>
        </w:rPr>
      </w:pPr>
      <w:r w:rsidRPr="004D3863">
        <w:rPr>
          <w:sz w:val="24"/>
          <w:szCs w:val="24"/>
        </w:rPr>
        <w:t>Respetada doctora:</w:t>
      </w:r>
    </w:p>
    <w:p w:rsidR="00B22B98" w:rsidRPr="004D3863" w:rsidRDefault="00B22B98">
      <w:pPr>
        <w:rPr>
          <w:sz w:val="24"/>
          <w:szCs w:val="24"/>
        </w:rPr>
      </w:pPr>
    </w:p>
    <w:p w:rsidR="00B22B98" w:rsidRPr="004D3863" w:rsidRDefault="006A5DDF">
      <w:pPr>
        <w:rPr>
          <w:sz w:val="24"/>
          <w:szCs w:val="24"/>
        </w:rPr>
      </w:pPr>
      <w:r w:rsidRPr="004D3863">
        <w:rPr>
          <w:sz w:val="24"/>
          <w:szCs w:val="24"/>
        </w:rPr>
        <w:t>De conformidad con el Reglamento Interno -Acuerdo 741 de 2019, modificado por el Acuerdo 837 de 2022-, rindo Ponencia positiva con modificaciones para primer debate del Proyecto de Acuerdo No. 388 de 2025</w:t>
      </w:r>
      <w:r w:rsidRPr="004D3863">
        <w:rPr>
          <w:b/>
          <w:sz w:val="24"/>
          <w:szCs w:val="24"/>
        </w:rPr>
        <w:t xml:space="preserve"> "POR MEDIO DEL CUAL SE ESTABLECEN BENEFICIOS TRIBUT</w:t>
      </w:r>
      <w:r w:rsidRPr="004D3863">
        <w:rPr>
          <w:b/>
          <w:sz w:val="24"/>
          <w:szCs w:val="24"/>
        </w:rPr>
        <w:t>ARIOS PARA PROPIETARIOS Y POSEEDORES DE BIENES INMUEBLES AFECTADOS POR OBRAS PÚBLICAS EN EL DISTRITO CAPITAL Y SE DICTAN OTRAS DISPOSICIONES"</w:t>
      </w:r>
      <w:r w:rsidRPr="004D3863">
        <w:rPr>
          <w:sz w:val="24"/>
          <w:szCs w:val="24"/>
        </w:rPr>
        <w:t xml:space="preserve"> en los siguientes términos:</w:t>
      </w:r>
    </w:p>
    <w:p w:rsidR="00B22B98" w:rsidRPr="004D3863" w:rsidRDefault="00B22B98">
      <w:pPr>
        <w:pBdr>
          <w:top w:val="nil"/>
          <w:left w:val="nil"/>
          <w:bottom w:val="nil"/>
          <w:right w:val="nil"/>
          <w:between w:val="nil"/>
        </w:pBdr>
        <w:spacing w:before="137"/>
        <w:rPr>
          <w:i/>
          <w:color w:val="000000"/>
          <w:sz w:val="24"/>
          <w:szCs w:val="24"/>
        </w:rPr>
      </w:pPr>
    </w:p>
    <w:p w:rsidR="00B22B98" w:rsidRPr="004D3863" w:rsidRDefault="006A5DDF">
      <w:pPr>
        <w:numPr>
          <w:ilvl w:val="0"/>
          <w:numId w:val="4"/>
        </w:numPr>
        <w:pBdr>
          <w:top w:val="nil"/>
          <w:left w:val="nil"/>
          <w:bottom w:val="nil"/>
          <w:right w:val="nil"/>
          <w:between w:val="nil"/>
        </w:pBdr>
        <w:tabs>
          <w:tab w:val="left" w:pos="939"/>
        </w:tabs>
        <w:rPr>
          <w:rFonts w:ascii="Arial" w:eastAsia="Arial" w:hAnsi="Arial" w:cs="Arial"/>
          <w:b/>
          <w:color w:val="000000"/>
          <w:sz w:val="24"/>
          <w:szCs w:val="24"/>
        </w:rPr>
      </w:pPr>
      <w:r w:rsidRPr="004D3863">
        <w:rPr>
          <w:rFonts w:ascii="Arial" w:eastAsia="Arial" w:hAnsi="Arial" w:cs="Arial"/>
          <w:b/>
          <w:color w:val="000000"/>
          <w:sz w:val="24"/>
          <w:szCs w:val="24"/>
        </w:rPr>
        <w:t xml:space="preserve">CONSIDERACIONES DE LA PONENTE. </w:t>
      </w:r>
    </w:p>
    <w:p w:rsidR="00B22B98" w:rsidRPr="004D3863" w:rsidRDefault="006A5DDF">
      <w:pPr>
        <w:tabs>
          <w:tab w:val="left" w:pos="939"/>
        </w:tabs>
        <w:spacing w:before="240" w:after="240"/>
        <w:rPr>
          <w:sz w:val="24"/>
          <w:szCs w:val="24"/>
        </w:rPr>
      </w:pPr>
      <w:proofErr w:type="gramStart"/>
      <w:r w:rsidRPr="004D3863">
        <w:rPr>
          <w:sz w:val="24"/>
          <w:szCs w:val="24"/>
        </w:rPr>
        <w:t>Las modificaciones propuestas al Proyecto de Acuerdo busca</w:t>
      </w:r>
      <w:proofErr w:type="gramEnd"/>
      <w:r w:rsidRPr="004D3863">
        <w:rPr>
          <w:sz w:val="24"/>
          <w:szCs w:val="24"/>
        </w:rPr>
        <w:t xml:space="preserve"> establecer beneficios tributarios para propietarios, poseedores de inmuebles comerciales </w:t>
      </w:r>
      <w:r w:rsidRPr="004D3863">
        <w:rPr>
          <w:b/>
          <w:sz w:val="24"/>
          <w:szCs w:val="24"/>
        </w:rPr>
        <w:t>y negocios de la economía popular</w:t>
      </w:r>
      <w:r w:rsidRPr="004D3863">
        <w:rPr>
          <w:sz w:val="24"/>
          <w:szCs w:val="24"/>
        </w:rPr>
        <w:t xml:space="preserve"> que resulten afectados por la ejecución de obras públicas en Bogotá. Se pr</w:t>
      </w:r>
      <w:r w:rsidRPr="004D3863">
        <w:rPr>
          <w:sz w:val="24"/>
          <w:szCs w:val="24"/>
        </w:rPr>
        <w:t xml:space="preserve">opone la </w:t>
      </w:r>
      <w:r w:rsidRPr="004D3863">
        <w:rPr>
          <w:b/>
          <w:sz w:val="24"/>
          <w:szCs w:val="24"/>
        </w:rPr>
        <w:t>exención del impuesto predial</w:t>
      </w:r>
      <w:r w:rsidRPr="004D3863">
        <w:rPr>
          <w:sz w:val="24"/>
          <w:szCs w:val="24"/>
        </w:rPr>
        <w:t xml:space="preserve"> para los propietarios y poseedores afectados, así como </w:t>
      </w:r>
      <w:r w:rsidRPr="004D3863">
        <w:rPr>
          <w:b/>
          <w:sz w:val="24"/>
          <w:szCs w:val="24"/>
        </w:rPr>
        <w:t>incentivos fiscales y tributarios para los negocios de la economía popular</w:t>
      </w:r>
      <w:r w:rsidRPr="004D3863">
        <w:rPr>
          <w:sz w:val="24"/>
          <w:szCs w:val="24"/>
        </w:rPr>
        <w:t xml:space="preserve">, con el fin de mitigar el impacto económico que generan estas intervenciones. </w:t>
      </w:r>
    </w:p>
    <w:p w:rsidR="00B22B98" w:rsidRPr="004D3863" w:rsidRDefault="006A5DDF">
      <w:pPr>
        <w:tabs>
          <w:tab w:val="left" w:pos="939"/>
        </w:tabs>
        <w:spacing w:before="240" w:after="240"/>
        <w:rPr>
          <w:sz w:val="24"/>
          <w:szCs w:val="24"/>
        </w:rPr>
      </w:pPr>
      <w:r w:rsidRPr="004D3863">
        <w:rPr>
          <w:sz w:val="24"/>
          <w:szCs w:val="24"/>
        </w:rPr>
        <w:t>En Bogot</w:t>
      </w:r>
      <w:r w:rsidRPr="004D3863">
        <w:rPr>
          <w:sz w:val="24"/>
          <w:szCs w:val="24"/>
        </w:rPr>
        <w:t xml:space="preserve">á, miles de pequeños negocios dependen de la movilidad y el acceso al espacio público para su sostenibilidad. Las obras de infraestructura, aunque necesarias para el desarrollo urbano, afectan significativamente estos negocios al </w:t>
      </w:r>
      <w:r w:rsidRPr="004D3863">
        <w:rPr>
          <w:b/>
          <w:sz w:val="24"/>
          <w:szCs w:val="24"/>
        </w:rPr>
        <w:t>reducir el flujo de client</w:t>
      </w:r>
      <w:r w:rsidRPr="004D3863">
        <w:rPr>
          <w:b/>
          <w:sz w:val="24"/>
          <w:szCs w:val="24"/>
        </w:rPr>
        <w:t>es, restringir el acceso y disminuir sus ingresos</w:t>
      </w:r>
      <w:r w:rsidRPr="004D3863">
        <w:rPr>
          <w:sz w:val="24"/>
          <w:szCs w:val="24"/>
        </w:rPr>
        <w:t xml:space="preserve">, lo que pone en riesgo la estabilidad económica de muchas familias. </w:t>
      </w:r>
    </w:p>
    <w:p w:rsidR="00B22B98" w:rsidRPr="004D3863" w:rsidRDefault="006A5DDF">
      <w:pPr>
        <w:tabs>
          <w:tab w:val="left" w:pos="939"/>
        </w:tabs>
        <w:spacing w:before="240" w:after="240"/>
        <w:rPr>
          <w:sz w:val="24"/>
          <w:szCs w:val="24"/>
        </w:rPr>
      </w:pPr>
      <w:r w:rsidRPr="004D3863">
        <w:rPr>
          <w:sz w:val="24"/>
          <w:szCs w:val="24"/>
        </w:rPr>
        <w:t xml:space="preserve">Estas propuestas modificatorias incorporan una visión más amplia y justa, alineándose con principios de </w:t>
      </w:r>
      <w:r w:rsidRPr="004D3863">
        <w:rPr>
          <w:b/>
          <w:sz w:val="24"/>
          <w:szCs w:val="24"/>
        </w:rPr>
        <w:t>equidad económica</w:t>
      </w:r>
      <w:r w:rsidRPr="004D3863">
        <w:rPr>
          <w:sz w:val="24"/>
          <w:szCs w:val="24"/>
        </w:rPr>
        <w:t xml:space="preserve"> y garantizando </w:t>
      </w:r>
      <w:r w:rsidRPr="004D3863">
        <w:rPr>
          <w:sz w:val="24"/>
          <w:szCs w:val="24"/>
        </w:rPr>
        <w:t xml:space="preserve">que los beneficios no sólo favorezcan a los propietarios de inmuebles, sino también a los sectores más vulnerables de la economía local. </w:t>
      </w:r>
    </w:p>
    <w:p w:rsidR="00B22B98" w:rsidRPr="004D3863" w:rsidRDefault="006A5DDF">
      <w:pPr>
        <w:tabs>
          <w:tab w:val="left" w:pos="939"/>
        </w:tabs>
        <w:spacing w:before="240" w:after="240"/>
        <w:rPr>
          <w:b/>
          <w:sz w:val="24"/>
          <w:szCs w:val="24"/>
        </w:rPr>
      </w:pPr>
      <w:r w:rsidRPr="004D3863">
        <w:rPr>
          <w:b/>
          <w:sz w:val="24"/>
          <w:szCs w:val="24"/>
        </w:rPr>
        <w:t xml:space="preserve">2. JUSTIFICACIÓN Y MODIFICACIONES PROPUESTAS </w:t>
      </w:r>
    </w:p>
    <w:p w:rsidR="00B22B98" w:rsidRPr="004D3863" w:rsidRDefault="006A5DDF">
      <w:pPr>
        <w:tabs>
          <w:tab w:val="left" w:pos="939"/>
        </w:tabs>
        <w:spacing w:before="240" w:after="240"/>
        <w:rPr>
          <w:b/>
          <w:sz w:val="24"/>
          <w:szCs w:val="24"/>
        </w:rPr>
      </w:pPr>
      <w:r w:rsidRPr="004D3863">
        <w:rPr>
          <w:b/>
          <w:sz w:val="24"/>
          <w:szCs w:val="24"/>
        </w:rPr>
        <w:t xml:space="preserve">2.1. Inclusión de Negocios de la Economía Popular en los Beneficios </w:t>
      </w:r>
    </w:p>
    <w:p w:rsidR="00B22B98" w:rsidRPr="004D3863" w:rsidRDefault="006A5DDF">
      <w:pPr>
        <w:tabs>
          <w:tab w:val="left" w:pos="939"/>
        </w:tabs>
        <w:spacing w:before="240" w:after="240"/>
        <w:rPr>
          <w:sz w:val="24"/>
          <w:szCs w:val="24"/>
        </w:rPr>
      </w:pPr>
      <w:r w:rsidRPr="004D3863">
        <w:rPr>
          <w:sz w:val="24"/>
          <w:szCs w:val="24"/>
        </w:rPr>
        <w:t xml:space="preserve">La </w:t>
      </w:r>
      <w:r w:rsidRPr="004D3863">
        <w:rPr>
          <w:sz w:val="24"/>
          <w:szCs w:val="24"/>
        </w:rPr>
        <w:t xml:space="preserve">propuesta original contemplaba exclusivamente </w:t>
      </w:r>
      <w:r w:rsidRPr="004D3863">
        <w:rPr>
          <w:b/>
          <w:sz w:val="24"/>
          <w:szCs w:val="24"/>
        </w:rPr>
        <w:t>beneficios para propietarios y poseedores de inmuebles</w:t>
      </w:r>
      <w:r w:rsidRPr="004D3863">
        <w:rPr>
          <w:sz w:val="24"/>
          <w:szCs w:val="24"/>
        </w:rPr>
        <w:t xml:space="preserve">. Sin embargo, esto excluía a un sector fundamental para la economía de Bogotá: </w:t>
      </w:r>
      <w:r w:rsidRPr="004D3863">
        <w:rPr>
          <w:b/>
          <w:sz w:val="24"/>
          <w:szCs w:val="24"/>
        </w:rPr>
        <w:t>los negocios de la economía popular</w:t>
      </w:r>
      <w:r w:rsidRPr="004D3863">
        <w:rPr>
          <w:sz w:val="24"/>
          <w:szCs w:val="24"/>
        </w:rPr>
        <w:t>, que incluyen pequeñas tiendas, microemp</w:t>
      </w:r>
      <w:r w:rsidRPr="004D3863">
        <w:rPr>
          <w:sz w:val="24"/>
          <w:szCs w:val="24"/>
        </w:rPr>
        <w:t xml:space="preserve">resas, </w:t>
      </w:r>
      <w:r w:rsidRPr="004D3863">
        <w:rPr>
          <w:sz w:val="24"/>
          <w:szCs w:val="24"/>
        </w:rPr>
        <w:lastRenderedPageBreak/>
        <w:t xml:space="preserve">vendedores informales y otros comercios que no necesariamente son propietarios de los predios en los que operan. </w:t>
      </w:r>
    </w:p>
    <w:p w:rsidR="00B22B98" w:rsidRPr="004D3863" w:rsidRDefault="006A5DDF">
      <w:pPr>
        <w:tabs>
          <w:tab w:val="left" w:pos="939"/>
        </w:tabs>
        <w:spacing w:before="240" w:after="240"/>
        <w:rPr>
          <w:sz w:val="24"/>
          <w:szCs w:val="24"/>
        </w:rPr>
      </w:pPr>
      <w:r w:rsidRPr="004D3863">
        <w:rPr>
          <w:sz w:val="24"/>
          <w:szCs w:val="24"/>
        </w:rPr>
        <w:t>Por ello, se modifican los artículos del Proyecto de Acuerdo para incluir:</w:t>
      </w:r>
    </w:p>
    <w:p w:rsidR="00B22B98" w:rsidRPr="004D3863" w:rsidRDefault="006A5DDF">
      <w:pPr>
        <w:numPr>
          <w:ilvl w:val="0"/>
          <w:numId w:val="1"/>
        </w:numPr>
        <w:tabs>
          <w:tab w:val="left" w:pos="939"/>
        </w:tabs>
        <w:spacing w:before="240"/>
        <w:rPr>
          <w:sz w:val="24"/>
          <w:szCs w:val="24"/>
        </w:rPr>
      </w:pPr>
      <w:r w:rsidRPr="004D3863">
        <w:rPr>
          <w:sz w:val="24"/>
          <w:szCs w:val="24"/>
        </w:rPr>
        <w:t xml:space="preserve">Beneficios tributarios y compensaciones económicas para los </w:t>
      </w:r>
      <w:r w:rsidRPr="004D3863">
        <w:rPr>
          <w:sz w:val="24"/>
          <w:szCs w:val="24"/>
        </w:rPr>
        <w:t>negocios de la economía popular afectados.</w:t>
      </w:r>
    </w:p>
    <w:p w:rsidR="00B22B98" w:rsidRPr="004D3863" w:rsidRDefault="006A5DDF">
      <w:pPr>
        <w:numPr>
          <w:ilvl w:val="0"/>
          <w:numId w:val="1"/>
        </w:numPr>
        <w:tabs>
          <w:tab w:val="left" w:pos="939"/>
        </w:tabs>
        <w:rPr>
          <w:sz w:val="24"/>
          <w:szCs w:val="24"/>
        </w:rPr>
      </w:pPr>
      <w:r w:rsidRPr="004D3863">
        <w:rPr>
          <w:sz w:val="24"/>
          <w:szCs w:val="24"/>
        </w:rPr>
        <w:t xml:space="preserve">Exención del </w:t>
      </w:r>
      <w:r w:rsidRPr="004D3863">
        <w:rPr>
          <w:b/>
          <w:sz w:val="24"/>
          <w:szCs w:val="24"/>
        </w:rPr>
        <w:t>Impuesto de Industria y Comercio (ICA)</w:t>
      </w:r>
      <w:r w:rsidRPr="004D3863">
        <w:rPr>
          <w:sz w:val="24"/>
          <w:szCs w:val="24"/>
        </w:rPr>
        <w:t xml:space="preserve"> para los negocios que demuestren afectación directa.</w:t>
      </w:r>
    </w:p>
    <w:p w:rsidR="00B22B98" w:rsidRPr="004D3863" w:rsidRDefault="006A5DDF">
      <w:pPr>
        <w:numPr>
          <w:ilvl w:val="0"/>
          <w:numId w:val="1"/>
        </w:numPr>
        <w:tabs>
          <w:tab w:val="left" w:pos="939"/>
        </w:tabs>
        <w:spacing w:after="240"/>
        <w:rPr>
          <w:sz w:val="24"/>
          <w:szCs w:val="24"/>
        </w:rPr>
      </w:pPr>
      <w:r w:rsidRPr="004D3863">
        <w:rPr>
          <w:sz w:val="24"/>
          <w:szCs w:val="24"/>
        </w:rPr>
        <w:t xml:space="preserve">Creación de un mecanismo de solicitud y verificación que garantice la aplicación justa de los beneficios. </w:t>
      </w:r>
    </w:p>
    <w:p w:rsidR="00B22B98" w:rsidRPr="004D3863" w:rsidRDefault="006A5DDF">
      <w:pPr>
        <w:tabs>
          <w:tab w:val="left" w:pos="939"/>
        </w:tabs>
        <w:spacing w:before="240" w:after="240"/>
        <w:rPr>
          <w:b/>
          <w:sz w:val="24"/>
          <w:szCs w:val="24"/>
        </w:rPr>
      </w:pPr>
      <w:r w:rsidRPr="004D3863">
        <w:rPr>
          <w:b/>
          <w:sz w:val="24"/>
          <w:szCs w:val="24"/>
        </w:rPr>
        <w:t>2</w:t>
      </w:r>
      <w:r w:rsidRPr="004D3863">
        <w:rPr>
          <w:b/>
          <w:sz w:val="24"/>
          <w:szCs w:val="24"/>
        </w:rPr>
        <w:t xml:space="preserve">.2. Fortalecimiento del Enfoque de Justicia Social y Desarrollo Económico </w:t>
      </w:r>
    </w:p>
    <w:p w:rsidR="00B22B98" w:rsidRPr="004D3863" w:rsidRDefault="006A5DDF">
      <w:pPr>
        <w:tabs>
          <w:tab w:val="left" w:pos="939"/>
        </w:tabs>
        <w:spacing w:before="240" w:after="240"/>
        <w:rPr>
          <w:sz w:val="24"/>
          <w:szCs w:val="24"/>
        </w:rPr>
      </w:pPr>
      <w:r w:rsidRPr="004D3863">
        <w:rPr>
          <w:sz w:val="24"/>
          <w:szCs w:val="24"/>
        </w:rPr>
        <w:t xml:space="preserve">El proyecto de acuerdo debe trascender la lógica del alivio fiscal exclusivo a propietarios y considerar el impacto en las </w:t>
      </w:r>
      <w:r w:rsidRPr="004D3863">
        <w:rPr>
          <w:b/>
          <w:sz w:val="24"/>
          <w:szCs w:val="24"/>
        </w:rPr>
        <w:t>personas que dependen de la actividad comercial en estas z</w:t>
      </w:r>
      <w:r w:rsidRPr="004D3863">
        <w:rPr>
          <w:b/>
          <w:sz w:val="24"/>
          <w:szCs w:val="24"/>
        </w:rPr>
        <w:t>onas</w:t>
      </w:r>
      <w:r w:rsidRPr="004D3863">
        <w:rPr>
          <w:sz w:val="24"/>
          <w:szCs w:val="24"/>
        </w:rPr>
        <w:t xml:space="preserve">. Por ello, se introduce una modificación en el articulado para garantizar que la </w:t>
      </w:r>
      <w:r w:rsidRPr="004D3863">
        <w:rPr>
          <w:b/>
          <w:sz w:val="24"/>
          <w:szCs w:val="24"/>
        </w:rPr>
        <w:t>Secretaría de Desarrollo Económico</w:t>
      </w:r>
      <w:r w:rsidRPr="004D3863">
        <w:rPr>
          <w:sz w:val="24"/>
          <w:szCs w:val="24"/>
        </w:rPr>
        <w:t xml:space="preserve"> y el </w:t>
      </w:r>
      <w:r w:rsidRPr="004D3863">
        <w:rPr>
          <w:b/>
          <w:sz w:val="24"/>
          <w:szCs w:val="24"/>
        </w:rPr>
        <w:t>Instituto para la Economía Social (IPES)</w:t>
      </w:r>
      <w:r w:rsidRPr="004D3863">
        <w:rPr>
          <w:sz w:val="24"/>
          <w:szCs w:val="24"/>
        </w:rPr>
        <w:t xml:space="preserve"> lideren el proceso de identificación y apoyo a los negocios de la economía popular afecta</w:t>
      </w:r>
      <w:r w:rsidRPr="004D3863">
        <w:rPr>
          <w:sz w:val="24"/>
          <w:szCs w:val="24"/>
        </w:rPr>
        <w:t>dos.</w:t>
      </w:r>
    </w:p>
    <w:p w:rsidR="00B22B98" w:rsidRPr="004D3863" w:rsidRDefault="00B22B98">
      <w:pPr>
        <w:pBdr>
          <w:top w:val="nil"/>
          <w:left w:val="nil"/>
          <w:bottom w:val="nil"/>
          <w:right w:val="nil"/>
          <w:between w:val="nil"/>
        </w:pBdr>
        <w:spacing w:before="138"/>
        <w:rPr>
          <w:i/>
          <w:color w:val="000000"/>
          <w:sz w:val="24"/>
          <w:szCs w:val="24"/>
        </w:rPr>
      </w:pPr>
    </w:p>
    <w:p w:rsidR="00B22B98" w:rsidRPr="004D3863" w:rsidRDefault="006A5DDF">
      <w:pPr>
        <w:numPr>
          <w:ilvl w:val="1"/>
          <w:numId w:val="4"/>
        </w:numPr>
        <w:pBdr>
          <w:top w:val="nil"/>
          <w:left w:val="nil"/>
          <w:bottom w:val="nil"/>
          <w:right w:val="nil"/>
          <w:between w:val="nil"/>
        </w:pBdr>
        <w:tabs>
          <w:tab w:val="left" w:pos="685"/>
        </w:tabs>
        <w:ind w:left="685" w:hanging="466"/>
        <w:jc w:val="both"/>
        <w:rPr>
          <w:color w:val="000000"/>
          <w:sz w:val="24"/>
          <w:szCs w:val="24"/>
        </w:rPr>
      </w:pPr>
      <w:r w:rsidRPr="004D3863">
        <w:rPr>
          <w:b/>
          <w:color w:val="000000"/>
          <w:sz w:val="24"/>
          <w:szCs w:val="24"/>
        </w:rPr>
        <w:t>Propuesta de modificación al articulado.</w:t>
      </w:r>
    </w:p>
    <w:p w:rsidR="00B22B98" w:rsidRPr="004D3863" w:rsidRDefault="00B22B98">
      <w:pPr>
        <w:tabs>
          <w:tab w:val="left" w:pos="685"/>
        </w:tabs>
        <w:rPr>
          <w:b/>
          <w:sz w:val="24"/>
          <w:szCs w:val="24"/>
        </w:rPr>
      </w:pPr>
    </w:p>
    <w:p w:rsidR="00B22B98" w:rsidRPr="004D3863" w:rsidRDefault="00B22B98">
      <w:pPr>
        <w:tabs>
          <w:tab w:val="left" w:pos="685"/>
        </w:tabs>
        <w:rPr>
          <w:b/>
          <w:sz w:val="24"/>
          <w:szCs w:val="24"/>
        </w:rPr>
      </w:pPr>
    </w:p>
    <w:tbl>
      <w:tblPr>
        <w:tblStyle w:val="a1"/>
        <w:tblW w:w="9062" w:type="dxa"/>
        <w:tblLayout w:type="fixed"/>
        <w:tblLook w:val="0400" w:firstRow="0" w:lastRow="0" w:firstColumn="0" w:lastColumn="0" w:noHBand="0" w:noVBand="1"/>
      </w:tblPr>
      <w:tblGrid>
        <w:gridCol w:w="4420"/>
        <w:gridCol w:w="4642"/>
      </w:tblGrid>
      <w:tr w:rsidR="00B22B98" w:rsidRPr="004D3863">
        <w:trPr>
          <w:trHeight w:val="315"/>
        </w:trPr>
        <w:tc>
          <w:tcPr>
            <w:tcW w:w="44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B22B98" w:rsidRPr="004D3863" w:rsidRDefault="006A5DDF">
            <w:pPr>
              <w:widowControl/>
              <w:jc w:val="center"/>
              <w:rPr>
                <w:b/>
                <w:color w:val="000000"/>
                <w:sz w:val="24"/>
                <w:szCs w:val="24"/>
              </w:rPr>
            </w:pPr>
            <w:r w:rsidRPr="004D3863">
              <w:rPr>
                <w:b/>
                <w:color w:val="000000"/>
                <w:sz w:val="24"/>
                <w:szCs w:val="24"/>
              </w:rPr>
              <w:t>Texto Original</w:t>
            </w:r>
          </w:p>
        </w:tc>
        <w:tc>
          <w:tcPr>
            <w:tcW w:w="4642" w:type="dxa"/>
            <w:tcBorders>
              <w:top w:val="single" w:sz="8" w:space="0" w:color="000000"/>
              <w:left w:val="nil"/>
              <w:bottom w:val="single" w:sz="8" w:space="0" w:color="000000"/>
              <w:right w:val="single" w:sz="8" w:space="0" w:color="000000"/>
            </w:tcBorders>
            <w:shd w:val="clear" w:color="auto" w:fill="auto"/>
            <w:vAlign w:val="center"/>
          </w:tcPr>
          <w:p w:rsidR="00B22B98" w:rsidRPr="004D3863" w:rsidRDefault="006A5DDF">
            <w:pPr>
              <w:widowControl/>
              <w:jc w:val="center"/>
              <w:rPr>
                <w:b/>
                <w:color w:val="000000"/>
                <w:sz w:val="24"/>
                <w:szCs w:val="24"/>
              </w:rPr>
            </w:pPr>
            <w:r w:rsidRPr="004D3863">
              <w:rPr>
                <w:b/>
                <w:color w:val="000000"/>
                <w:sz w:val="24"/>
                <w:szCs w:val="24"/>
              </w:rPr>
              <w:t>Propuesta Modificación</w:t>
            </w:r>
          </w:p>
        </w:tc>
      </w:tr>
      <w:tr w:rsidR="00B22B98" w:rsidRPr="004D3863">
        <w:trPr>
          <w:trHeight w:val="108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B22B98" w:rsidRPr="004D3863" w:rsidRDefault="006A5DDF">
            <w:pPr>
              <w:widowControl/>
              <w:jc w:val="both"/>
              <w:rPr>
                <w:color w:val="000000"/>
                <w:sz w:val="24"/>
                <w:szCs w:val="24"/>
              </w:rPr>
            </w:pPr>
            <w:r w:rsidRPr="004D3863">
              <w:rPr>
                <w:b/>
                <w:sz w:val="24"/>
                <w:szCs w:val="24"/>
              </w:rPr>
              <w:t>Artículo 1.</w:t>
            </w:r>
            <w:r w:rsidRPr="004D3863">
              <w:rPr>
                <w:sz w:val="24"/>
                <w:szCs w:val="24"/>
              </w:rPr>
              <w:t xml:space="preserve"> </w:t>
            </w:r>
            <w:r w:rsidRPr="004D3863">
              <w:rPr>
                <w:b/>
                <w:sz w:val="24"/>
                <w:szCs w:val="24"/>
              </w:rPr>
              <w:t>Objeto.</w:t>
            </w:r>
            <w:r w:rsidRPr="004D3863">
              <w:rPr>
                <w:sz w:val="24"/>
                <w:szCs w:val="24"/>
              </w:rPr>
              <w:t xml:space="preserve"> El presente acuerdo tiene como objeto establecer beneficios tributarios a los propietarios o poseedores de bienes inmuebles comerciales afectados por la ejecución de obras públicas en el Distrito Capital de Bogotá, mediante la exención del pago del impues</w:t>
            </w:r>
            <w:r w:rsidRPr="004D3863">
              <w:rPr>
                <w:sz w:val="24"/>
                <w:szCs w:val="24"/>
              </w:rPr>
              <w:t>to predial durante el tiempo que dure la afectación.</w:t>
            </w:r>
          </w:p>
        </w:tc>
        <w:tc>
          <w:tcPr>
            <w:tcW w:w="4642" w:type="dxa"/>
            <w:vMerge w:val="restart"/>
            <w:tcBorders>
              <w:top w:val="nil"/>
              <w:left w:val="single" w:sz="8" w:space="0" w:color="000000"/>
              <w:bottom w:val="single" w:sz="8" w:space="0" w:color="000000"/>
              <w:right w:val="single" w:sz="8" w:space="0" w:color="000000"/>
            </w:tcBorders>
            <w:shd w:val="clear" w:color="auto" w:fill="auto"/>
            <w:vAlign w:val="center"/>
          </w:tcPr>
          <w:p w:rsidR="00B22B98" w:rsidRPr="004D3863" w:rsidRDefault="006A5DDF">
            <w:pPr>
              <w:widowControl/>
              <w:spacing w:before="240" w:after="240"/>
              <w:jc w:val="center"/>
              <w:rPr>
                <w:sz w:val="24"/>
                <w:szCs w:val="24"/>
              </w:rPr>
            </w:pPr>
            <w:r w:rsidRPr="004D3863">
              <w:rPr>
                <w:b/>
                <w:sz w:val="24"/>
                <w:szCs w:val="24"/>
              </w:rPr>
              <w:t xml:space="preserve">Artículo 1. Objeto. </w:t>
            </w:r>
            <w:r w:rsidRPr="004D3863">
              <w:rPr>
                <w:sz w:val="24"/>
                <w:szCs w:val="24"/>
              </w:rPr>
              <w:t xml:space="preserve">El presente acuerdo tiene como objeto establecer beneficios tributarios a los </w:t>
            </w:r>
            <w:r w:rsidRPr="004D3863">
              <w:rPr>
                <w:b/>
                <w:sz w:val="24"/>
                <w:szCs w:val="24"/>
              </w:rPr>
              <w:t>propietarios, poseedores de bienes inmuebles comerciales y negocios de la economía popular</w:t>
            </w:r>
            <w:r w:rsidRPr="004D3863">
              <w:rPr>
                <w:sz w:val="24"/>
                <w:szCs w:val="24"/>
              </w:rPr>
              <w:t xml:space="preserve"> afectados por la ejecución de obras públicas en el Distrito Capital de Bogotá. Estos beneficios incluyen la </w:t>
            </w:r>
            <w:r w:rsidRPr="004D3863">
              <w:rPr>
                <w:b/>
                <w:sz w:val="24"/>
                <w:szCs w:val="24"/>
              </w:rPr>
              <w:t>exención del impuesto predial</w:t>
            </w:r>
            <w:r w:rsidRPr="004D3863">
              <w:rPr>
                <w:sz w:val="24"/>
                <w:szCs w:val="24"/>
              </w:rPr>
              <w:t xml:space="preserve"> para los propietarios y poseedores afectados, así como </w:t>
            </w:r>
            <w:r w:rsidRPr="004D3863">
              <w:rPr>
                <w:b/>
                <w:sz w:val="24"/>
                <w:szCs w:val="24"/>
              </w:rPr>
              <w:t>exenciones y compensaciones tributarias para los negocios de l</w:t>
            </w:r>
            <w:r w:rsidRPr="004D3863">
              <w:rPr>
                <w:b/>
                <w:sz w:val="24"/>
                <w:szCs w:val="24"/>
              </w:rPr>
              <w:t>a economía popular</w:t>
            </w:r>
            <w:r w:rsidRPr="004D3863">
              <w:rPr>
                <w:sz w:val="24"/>
                <w:szCs w:val="24"/>
              </w:rPr>
              <w:t>.</w:t>
            </w:r>
          </w:p>
          <w:p w:rsidR="00B22B98" w:rsidRPr="004D3863" w:rsidRDefault="00B22B98">
            <w:pPr>
              <w:widowControl/>
              <w:jc w:val="center"/>
              <w:rPr>
                <w:sz w:val="24"/>
                <w:szCs w:val="24"/>
              </w:rPr>
            </w:pPr>
          </w:p>
        </w:tc>
      </w:tr>
      <w:tr w:rsidR="00B22B98" w:rsidRPr="004D3863">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B22B98" w:rsidRPr="004D3863" w:rsidRDefault="00B22B98">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B22B98" w:rsidRPr="004D3863" w:rsidRDefault="00B22B98">
            <w:pPr>
              <w:pBdr>
                <w:top w:val="nil"/>
                <w:left w:val="nil"/>
                <w:bottom w:val="nil"/>
                <w:right w:val="nil"/>
                <w:between w:val="nil"/>
              </w:pBdr>
              <w:spacing w:line="276" w:lineRule="auto"/>
              <w:rPr>
                <w:sz w:val="24"/>
                <w:szCs w:val="24"/>
              </w:rPr>
            </w:pPr>
          </w:p>
        </w:tc>
      </w:tr>
      <w:tr w:rsidR="00B22B98" w:rsidRPr="004D3863">
        <w:trPr>
          <w:trHeight w:val="81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B22B98" w:rsidRPr="004D3863" w:rsidRDefault="006A5DDF">
            <w:pPr>
              <w:widowControl/>
              <w:jc w:val="both"/>
              <w:rPr>
                <w:color w:val="000000"/>
                <w:sz w:val="24"/>
                <w:szCs w:val="24"/>
              </w:rPr>
            </w:pPr>
            <w:r w:rsidRPr="004D3863">
              <w:rPr>
                <w:b/>
                <w:sz w:val="24"/>
                <w:szCs w:val="24"/>
              </w:rPr>
              <w:t>Artículo 2. Definición de afectación por obras públicas.</w:t>
            </w:r>
            <w:r w:rsidRPr="004D3863">
              <w:rPr>
                <w:sz w:val="24"/>
                <w:szCs w:val="24"/>
              </w:rPr>
              <w:t xml:space="preserve"> Para los efectos de este acuerdo, se entenderá como inmueble afectado aquel que, por motivo de la ejecución de obras públicas, enfrente limitaciones en su uso, acceso y/o aprovechamiento económico, y que cuente con una declaración de afectación expedida </w:t>
            </w:r>
            <w:r w:rsidRPr="004D3863">
              <w:rPr>
                <w:sz w:val="24"/>
                <w:szCs w:val="24"/>
              </w:rPr>
              <w:lastRenderedPageBreak/>
              <w:t>p</w:t>
            </w:r>
            <w:r w:rsidRPr="004D3863">
              <w:rPr>
                <w:sz w:val="24"/>
                <w:szCs w:val="24"/>
              </w:rPr>
              <w:t>or la entidad competente mediante acto administrativo.</w:t>
            </w:r>
          </w:p>
        </w:tc>
        <w:tc>
          <w:tcPr>
            <w:tcW w:w="4642" w:type="dxa"/>
            <w:vMerge w:val="restart"/>
            <w:tcBorders>
              <w:top w:val="nil"/>
              <w:left w:val="single" w:sz="8" w:space="0" w:color="000000"/>
              <w:bottom w:val="single" w:sz="8" w:space="0" w:color="000000"/>
              <w:right w:val="single" w:sz="8" w:space="0" w:color="000000"/>
            </w:tcBorders>
            <w:shd w:val="clear" w:color="auto" w:fill="auto"/>
            <w:vAlign w:val="center"/>
          </w:tcPr>
          <w:p w:rsidR="00B22B98" w:rsidRPr="004D3863" w:rsidRDefault="006A5DDF">
            <w:pPr>
              <w:widowControl/>
              <w:spacing w:before="240" w:after="240"/>
              <w:jc w:val="center"/>
              <w:rPr>
                <w:sz w:val="24"/>
                <w:szCs w:val="24"/>
              </w:rPr>
            </w:pPr>
            <w:r w:rsidRPr="004D3863">
              <w:rPr>
                <w:b/>
                <w:sz w:val="24"/>
                <w:szCs w:val="24"/>
              </w:rPr>
              <w:lastRenderedPageBreak/>
              <w:t>Artículo 2. Definición de afectación por obras públicas.</w:t>
            </w:r>
            <w:r w:rsidRPr="004D3863">
              <w:rPr>
                <w:b/>
                <w:sz w:val="24"/>
                <w:szCs w:val="24"/>
              </w:rPr>
              <w:br/>
            </w:r>
            <w:r w:rsidRPr="004D3863">
              <w:rPr>
                <w:sz w:val="24"/>
                <w:szCs w:val="24"/>
              </w:rPr>
              <w:t xml:space="preserve"> Para los efectos de este acuerdo, se entenderá como </w:t>
            </w:r>
            <w:r w:rsidRPr="004D3863">
              <w:rPr>
                <w:b/>
                <w:sz w:val="24"/>
                <w:szCs w:val="24"/>
              </w:rPr>
              <w:t>afectados por obras públicas</w:t>
            </w:r>
            <w:r w:rsidRPr="004D3863">
              <w:rPr>
                <w:sz w:val="24"/>
                <w:szCs w:val="24"/>
              </w:rPr>
              <w:t xml:space="preserve"> a:</w:t>
            </w:r>
          </w:p>
          <w:p w:rsidR="00B22B98" w:rsidRPr="004D3863" w:rsidRDefault="006A5DDF">
            <w:pPr>
              <w:widowControl/>
              <w:spacing w:before="240" w:after="240"/>
              <w:jc w:val="center"/>
              <w:rPr>
                <w:sz w:val="24"/>
                <w:szCs w:val="24"/>
              </w:rPr>
            </w:pPr>
            <w:r w:rsidRPr="004D3863">
              <w:rPr>
                <w:b/>
                <w:sz w:val="24"/>
                <w:szCs w:val="24"/>
              </w:rPr>
              <w:t>Los propietarios y poseedores de inmuebles comerciales</w:t>
            </w:r>
            <w:r w:rsidRPr="004D3863">
              <w:rPr>
                <w:sz w:val="24"/>
                <w:szCs w:val="24"/>
              </w:rPr>
              <w:t xml:space="preserve"> que,</w:t>
            </w:r>
            <w:r w:rsidRPr="004D3863">
              <w:rPr>
                <w:sz w:val="24"/>
                <w:szCs w:val="24"/>
              </w:rPr>
              <w:t xml:space="preserve"> por motivo de la ejecución </w:t>
            </w:r>
            <w:r w:rsidRPr="004D3863">
              <w:rPr>
                <w:sz w:val="24"/>
                <w:szCs w:val="24"/>
              </w:rPr>
              <w:lastRenderedPageBreak/>
              <w:t>de obras públicas, enfrenten limitaciones en su uso, acceso y/o aprovechamiento económico, debidamente certificados por la autoridad competente.</w:t>
            </w:r>
          </w:p>
          <w:p w:rsidR="00B22B98" w:rsidRPr="004D3863" w:rsidRDefault="006A5DDF">
            <w:pPr>
              <w:widowControl/>
              <w:spacing w:before="240" w:after="240"/>
              <w:jc w:val="center"/>
              <w:rPr>
                <w:sz w:val="24"/>
                <w:szCs w:val="24"/>
              </w:rPr>
            </w:pPr>
            <w:r w:rsidRPr="004D3863">
              <w:rPr>
                <w:b/>
                <w:sz w:val="24"/>
                <w:szCs w:val="24"/>
              </w:rPr>
              <w:t>Los negocios de la economía popular</w:t>
            </w:r>
            <w:r w:rsidRPr="004D3863">
              <w:rPr>
                <w:sz w:val="24"/>
                <w:szCs w:val="24"/>
              </w:rPr>
              <w:t xml:space="preserve"> ubicados dentro de los polígonos de intervenció</w:t>
            </w:r>
            <w:r w:rsidRPr="004D3863">
              <w:rPr>
                <w:sz w:val="24"/>
                <w:szCs w:val="24"/>
              </w:rPr>
              <w:t xml:space="preserve">n, que sufran </w:t>
            </w:r>
            <w:r w:rsidRPr="004D3863">
              <w:rPr>
                <w:b/>
                <w:sz w:val="24"/>
                <w:szCs w:val="24"/>
              </w:rPr>
              <w:t>reducción en sus ingresos, acceso restringido a clientes, o impacto directo en sus operaciones</w:t>
            </w:r>
            <w:r w:rsidRPr="004D3863">
              <w:rPr>
                <w:sz w:val="24"/>
                <w:szCs w:val="24"/>
              </w:rPr>
              <w:t xml:space="preserve"> debido a las obras.</w:t>
            </w:r>
          </w:p>
          <w:p w:rsidR="00B22B98" w:rsidRPr="004D3863" w:rsidRDefault="006A5DDF">
            <w:pPr>
              <w:widowControl/>
              <w:spacing w:before="240" w:after="240"/>
              <w:jc w:val="center"/>
              <w:rPr>
                <w:sz w:val="24"/>
                <w:szCs w:val="24"/>
              </w:rPr>
            </w:pPr>
            <w:r w:rsidRPr="004D3863">
              <w:rPr>
                <w:sz w:val="24"/>
                <w:szCs w:val="24"/>
              </w:rPr>
              <w:t>La afectación será certificada mediante acto administrativo expedido por la entidad competente.</w:t>
            </w:r>
          </w:p>
          <w:p w:rsidR="00B22B98" w:rsidRPr="004D3863" w:rsidRDefault="00B22B98">
            <w:pPr>
              <w:widowControl/>
              <w:jc w:val="center"/>
              <w:rPr>
                <w:sz w:val="24"/>
                <w:szCs w:val="24"/>
              </w:rPr>
            </w:pPr>
          </w:p>
        </w:tc>
      </w:tr>
      <w:tr w:rsidR="00B22B98" w:rsidRPr="004D3863">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B22B98" w:rsidRPr="004D3863" w:rsidRDefault="00B22B98">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B22B98" w:rsidRPr="004D3863" w:rsidRDefault="00B22B98">
            <w:pPr>
              <w:pBdr>
                <w:top w:val="nil"/>
                <w:left w:val="nil"/>
                <w:bottom w:val="nil"/>
                <w:right w:val="nil"/>
                <w:between w:val="nil"/>
              </w:pBdr>
              <w:spacing w:line="276" w:lineRule="auto"/>
              <w:rPr>
                <w:sz w:val="24"/>
                <w:szCs w:val="24"/>
              </w:rPr>
            </w:pPr>
          </w:p>
        </w:tc>
      </w:tr>
      <w:tr w:rsidR="00B22B98" w:rsidRPr="004D3863">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B22B98" w:rsidRPr="004D3863" w:rsidRDefault="00B22B98">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B22B98" w:rsidRPr="004D3863" w:rsidRDefault="00B22B98">
            <w:pPr>
              <w:pBdr>
                <w:top w:val="nil"/>
                <w:left w:val="nil"/>
                <w:bottom w:val="nil"/>
                <w:right w:val="nil"/>
                <w:between w:val="nil"/>
              </w:pBdr>
              <w:spacing w:line="276" w:lineRule="auto"/>
              <w:rPr>
                <w:sz w:val="24"/>
                <w:szCs w:val="24"/>
              </w:rPr>
            </w:pPr>
          </w:p>
        </w:tc>
      </w:tr>
      <w:tr w:rsidR="00B22B98" w:rsidRPr="004D3863">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B22B98" w:rsidRPr="004D3863" w:rsidRDefault="00B22B98">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B22B98" w:rsidRPr="004D3863" w:rsidRDefault="00B22B98">
            <w:pPr>
              <w:pBdr>
                <w:top w:val="nil"/>
                <w:left w:val="nil"/>
                <w:bottom w:val="nil"/>
                <w:right w:val="nil"/>
                <w:between w:val="nil"/>
              </w:pBdr>
              <w:spacing w:line="276" w:lineRule="auto"/>
              <w:rPr>
                <w:sz w:val="24"/>
                <w:szCs w:val="24"/>
              </w:rPr>
            </w:pPr>
          </w:p>
        </w:tc>
      </w:tr>
      <w:tr w:rsidR="00B22B98" w:rsidRPr="004D3863">
        <w:trPr>
          <w:trHeight w:val="81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B22B98" w:rsidRPr="004D3863" w:rsidRDefault="006A5DDF">
            <w:pPr>
              <w:widowControl/>
              <w:jc w:val="both"/>
              <w:rPr>
                <w:b/>
                <w:color w:val="000000"/>
                <w:sz w:val="24"/>
                <w:szCs w:val="24"/>
              </w:rPr>
            </w:pPr>
            <w:r w:rsidRPr="004D3863">
              <w:rPr>
                <w:b/>
                <w:sz w:val="24"/>
                <w:szCs w:val="24"/>
              </w:rPr>
              <w:t>Artículo 3. Alcance.</w:t>
            </w:r>
            <w:r w:rsidRPr="004D3863">
              <w:rPr>
                <w:sz w:val="24"/>
                <w:szCs w:val="24"/>
              </w:rPr>
              <w:t xml:space="preserve"> Los beneficios establecidos en este acuerdo serán aplicables a todos los inmuebles comerciales ubicados en el Distrito Capital de Bogotá que se vean afectados por obras públicas, según lo determine la autoridad competente.</w:t>
            </w:r>
          </w:p>
        </w:tc>
        <w:tc>
          <w:tcPr>
            <w:tcW w:w="4642" w:type="dxa"/>
            <w:tcBorders>
              <w:top w:val="nil"/>
              <w:left w:val="nil"/>
              <w:bottom w:val="nil"/>
              <w:right w:val="single" w:sz="8" w:space="0" w:color="000000"/>
            </w:tcBorders>
            <w:shd w:val="clear" w:color="auto" w:fill="auto"/>
            <w:vAlign w:val="center"/>
          </w:tcPr>
          <w:p w:rsidR="00B22B98" w:rsidRPr="004D3863" w:rsidRDefault="006A5DDF">
            <w:pPr>
              <w:widowControl/>
              <w:spacing w:before="240" w:after="240"/>
              <w:jc w:val="center"/>
              <w:rPr>
                <w:b/>
                <w:sz w:val="24"/>
                <w:szCs w:val="24"/>
              </w:rPr>
            </w:pPr>
            <w:r w:rsidRPr="004D3863">
              <w:rPr>
                <w:b/>
                <w:sz w:val="24"/>
                <w:szCs w:val="24"/>
              </w:rPr>
              <w:t>Artículo 3. Alcance y Beneficios</w:t>
            </w:r>
            <w:r w:rsidRPr="004D3863">
              <w:rPr>
                <w:b/>
                <w:sz w:val="24"/>
                <w:szCs w:val="24"/>
              </w:rPr>
              <w:t xml:space="preserve"> Otorgados.</w:t>
            </w:r>
          </w:p>
          <w:p w:rsidR="00B22B98" w:rsidRPr="004D3863" w:rsidRDefault="006A5DDF">
            <w:pPr>
              <w:widowControl/>
              <w:spacing w:before="240" w:after="240"/>
              <w:jc w:val="center"/>
              <w:rPr>
                <w:sz w:val="24"/>
                <w:szCs w:val="24"/>
              </w:rPr>
            </w:pPr>
            <w:r w:rsidRPr="004D3863">
              <w:rPr>
                <w:sz w:val="24"/>
                <w:szCs w:val="24"/>
              </w:rPr>
              <w:t>Los beneficios establecidos en este acuerdo serán aplicables a los propietarios y poseedores de inmuebles comerciales, así como a los negocios de la economía popular ubicados en el Distrito Capital de Bogotá que se vean afectados por obras públ</w:t>
            </w:r>
            <w:r w:rsidRPr="004D3863">
              <w:rPr>
                <w:sz w:val="24"/>
                <w:szCs w:val="24"/>
              </w:rPr>
              <w:t>icas, según lo determine la autoridad competente.</w:t>
            </w:r>
          </w:p>
          <w:p w:rsidR="00B22B98" w:rsidRPr="004D3863" w:rsidRDefault="006A5DDF">
            <w:pPr>
              <w:widowControl/>
              <w:spacing w:before="240" w:after="240"/>
              <w:jc w:val="center"/>
              <w:rPr>
                <w:sz w:val="24"/>
                <w:szCs w:val="24"/>
              </w:rPr>
            </w:pPr>
            <w:r w:rsidRPr="004D3863">
              <w:rPr>
                <w:sz w:val="24"/>
                <w:szCs w:val="24"/>
              </w:rPr>
              <w:t xml:space="preserve"> </w:t>
            </w:r>
          </w:p>
          <w:p w:rsidR="00B22B98" w:rsidRPr="004D3863" w:rsidRDefault="006A5DDF">
            <w:pPr>
              <w:widowControl/>
              <w:spacing w:before="240" w:after="240"/>
              <w:jc w:val="center"/>
              <w:rPr>
                <w:sz w:val="24"/>
                <w:szCs w:val="24"/>
              </w:rPr>
            </w:pPr>
            <w:r w:rsidRPr="004D3863">
              <w:rPr>
                <w:sz w:val="24"/>
                <w:szCs w:val="24"/>
              </w:rPr>
              <w:t>Los beneficiarios de este acuerdo tendrán derecho a las siguientes medidas de alivio tributario:</w:t>
            </w:r>
          </w:p>
          <w:p w:rsidR="00B22B98" w:rsidRPr="004D3863" w:rsidRDefault="006A5DDF">
            <w:pPr>
              <w:widowControl/>
              <w:spacing w:before="240" w:after="240"/>
              <w:jc w:val="center"/>
              <w:rPr>
                <w:sz w:val="24"/>
                <w:szCs w:val="24"/>
              </w:rPr>
            </w:pPr>
            <w:r w:rsidRPr="004D3863">
              <w:rPr>
                <w:sz w:val="24"/>
                <w:szCs w:val="24"/>
              </w:rPr>
              <w:t xml:space="preserve"> </w:t>
            </w:r>
          </w:p>
          <w:p w:rsidR="00B22B98" w:rsidRPr="004D3863" w:rsidRDefault="006A5DDF">
            <w:pPr>
              <w:widowControl/>
              <w:spacing w:before="240" w:after="240"/>
              <w:jc w:val="center"/>
              <w:rPr>
                <w:sz w:val="24"/>
                <w:szCs w:val="24"/>
              </w:rPr>
            </w:pPr>
            <w:r w:rsidRPr="004D3863">
              <w:rPr>
                <w:sz w:val="24"/>
                <w:szCs w:val="24"/>
              </w:rPr>
              <w:t>Para propietarios y poseedores de inmuebles comerciales:</w:t>
            </w:r>
          </w:p>
          <w:p w:rsidR="00B22B98" w:rsidRPr="004D3863" w:rsidRDefault="006A5DDF">
            <w:pPr>
              <w:widowControl/>
              <w:spacing w:before="240" w:after="240"/>
              <w:jc w:val="center"/>
              <w:rPr>
                <w:sz w:val="24"/>
                <w:szCs w:val="24"/>
              </w:rPr>
            </w:pPr>
            <w:r w:rsidRPr="004D3863">
              <w:rPr>
                <w:sz w:val="24"/>
                <w:szCs w:val="24"/>
              </w:rPr>
              <w:br/>
              <w:t xml:space="preserve"> a) Exención del 100% del Impuesto Predial dura</w:t>
            </w:r>
            <w:r w:rsidRPr="004D3863">
              <w:rPr>
                <w:sz w:val="24"/>
                <w:szCs w:val="24"/>
              </w:rPr>
              <w:t>nte el tiempo que dure la afectación.</w:t>
            </w:r>
            <w:r w:rsidRPr="004D3863">
              <w:rPr>
                <w:sz w:val="24"/>
                <w:szCs w:val="24"/>
              </w:rPr>
              <w:br/>
              <w:t xml:space="preserve"> b) Aplicación automática del beneficio sin necesidad de solicitud individual, previa certificación de afectación expedida por la autoridad competente.</w:t>
            </w:r>
          </w:p>
          <w:p w:rsidR="00B22B98" w:rsidRPr="004D3863" w:rsidRDefault="006A5DDF">
            <w:pPr>
              <w:widowControl/>
              <w:spacing w:before="240" w:after="240"/>
              <w:jc w:val="center"/>
              <w:rPr>
                <w:sz w:val="24"/>
                <w:szCs w:val="24"/>
              </w:rPr>
            </w:pPr>
            <w:r w:rsidRPr="004D3863">
              <w:rPr>
                <w:sz w:val="24"/>
                <w:szCs w:val="24"/>
              </w:rPr>
              <w:lastRenderedPageBreak/>
              <w:t xml:space="preserve"> </w:t>
            </w:r>
          </w:p>
          <w:p w:rsidR="00B22B98" w:rsidRPr="004D3863" w:rsidRDefault="006A5DDF">
            <w:pPr>
              <w:widowControl/>
              <w:spacing w:before="240" w:after="240"/>
              <w:jc w:val="center"/>
              <w:rPr>
                <w:sz w:val="24"/>
                <w:szCs w:val="24"/>
              </w:rPr>
            </w:pPr>
            <w:r w:rsidRPr="004D3863">
              <w:rPr>
                <w:sz w:val="24"/>
                <w:szCs w:val="24"/>
              </w:rPr>
              <w:t>Para negocios de la economía popular:</w:t>
            </w:r>
          </w:p>
          <w:p w:rsidR="00B22B98" w:rsidRPr="004D3863" w:rsidRDefault="006A5DDF">
            <w:pPr>
              <w:widowControl/>
              <w:spacing w:before="240" w:after="240"/>
              <w:jc w:val="center"/>
              <w:rPr>
                <w:sz w:val="24"/>
                <w:szCs w:val="24"/>
              </w:rPr>
            </w:pPr>
            <w:r w:rsidRPr="004D3863">
              <w:rPr>
                <w:sz w:val="24"/>
                <w:szCs w:val="24"/>
              </w:rPr>
              <w:br/>
              <w:t xml:space="preserve"> a) Exención del Impuesto</w:t>
            </w:r>
            <w:r w:rsidRPr="004D3863">
              <w:rPr>
                <w:sz w:val="24"/>
                <w:szCs w:val="24"/>
              </w:rPr>
              <w:t xml:space="preserve"> de Industria y Comercio (ICA) durante el período de afectación.</w:t>
            </w:r>
            <w:r w:rsidRPr="004D3863">
              <w:rPr>
                <w:sz w:val="24"/>
                <w:szCs w:val="24"/>
              </w:rPr>
              <w:br/>
              <w:t xml:space="preserve"> b) Acceso a mecanismos de apoyo económico en casos de pérdidas significativas certificadas.</w:t>
            </w:r>
            <w:r w:rsidRPr="004D3863">
              <w:rPr>
                <w:sz w:val="24"/>
                <w:szCs w:val="24"/>
              </w:rPr>
              <w:br/>
              <w:t xml:space="preserve"> c) Priorización en programas de asistencia del Instituto para la Economía Social (IPES) y la Secr</w:t>
            </w:r>
            <w:r w:rsidRPr="004D3863">
              <w:rPr>
                <w:sz w:val="24"/>
                <w:szCs w:val="24"/>
              </w:rPr>
              <w:t>etaría de Desarrollo Económico, con el fin de mitigar el impacto de la afectación.</w:t>
            </w:r>
          </w:p>
          <w:p w:rsidR="00B22B98" w:rsidRPr="004D3863" w:rsidRDefault="00B22B98">
            <w:pPr>
              <w:widowControl/>
              <w:jc w:val="both"/>
              <w:rPr>
                <w:b/>
                <w:sz w:val="24"/>
                <w:szCs w:val="24"/>
              </w:rPr>
            </w:pPr>
          </w:p>
        </w:tc>
      </w:tr>
      <w:tr w:rsidR="00B22B98" w:rsidRPr="004D3863">
        <w:trPr>
          <w:trHeight w:val="315"/>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B22B98" w:rsidRPr="004D3863" w:rsidRDefault="00B22B98">
            <w:pPr>
              <w:pBdr>
                <w:top w:val="nil"/>
                <w:left w:val="nil"/>
                <w:bottom w:val="nil"/>
                <w:right w:val="nil"/>
                <w:between w:val="nil"/>
              </w:pBdr>
              <w:spacing w:line="276" w:lineRule="auto"/>
              <w:rPr>
                <w:b/>
                <w:sz w:val="24"/>
                <w:szCs w:val="24"/>
              </w:rPr>
            </w:pPr>
          </w:p>
        </w:tc>
        <w:tc>
          <w:tcPr>
            <w:tcW w:w="4642" w:type="dxa"/>
            <w:tcBorders>
              <w:top w:val="nil"/>
              <w:left w:val="nil"/>
              <w:bottom w:val="single" w:sz="4" w:space="0" w:color="000000"/>
              <w:right w:val="single" w:sz="8" w:space="0" w:color="000000"/>
            </w:tcBorders>
            <w:shd w:val="clear" w:color="auto" w:fill="auto"/>
            <w:vAlign w:val="center"/>
          </w:tcPr>
          <w:p w:rsidR="00B22B98" w:rsidRPr="004D3863" w:rsidRDefault="00B22B98">
            <w:pPr>
              <w:widowControl/>
              <w:jc w:val="both"/>
              <w:rPr>
                <w:color w:val="000000"/>
                <w:sz w:val="24"/>
                <w:szCs w:val="24"/>
              </w:rPr>
            </w:pPr>
          </w:p>
        </w:tc>
      </w:tr>
      <w:tr w:rsidR="00B22B98" w:rsidRPr="004D3863">
        <w:trPr>
          <w:trHeight w:val="8192"/>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98" w:rsidRPr="004D3863" w:rsidRDefault="006A5DDF">
            <w:pPr>
              <w:widowControl/>
              <w:jc w:val="both"/>
              <w:rPr>
                <w:sz w:val="24"/>
                <w:szCs w:val="24"/>
              </w:rPr>
            </w:pPr>
            <w:r w:rsidRPr="004D3863">
              <w:rPr>
                <w:b/>
                <w:sz w:val="24"/>
                <w:szCs w:val="24"/>
              </w:rPr>
              <w:lastRenderedPageBreak/>
              <w:t xml:space="preserve">Artículo 4. Procedimiento. </w:t>
            </w:r>
            <w:r w:rsidRPr="004D3863">
              <w:rPr>
                <w:sz w:val="24"/>
                <w:szCs w:val="24"/>
              </w:rPr>
              <w:t>Los propietarios o poseedores de inmuebles comerciales afectados por obras públicas deberán presentar una solicitud escrita ante la Secretaría Distrital de Hacienda para acceder a la exención del impuesto predial. Esta solicitud deberá incluir el acto admi</w:t>
            </w:r>
            <w:r w:rsidRPr="004D3863">
              <w:rPr>
                <w:sz w:val="24"/>
                <w:szCs w:val="24"/>
              </w:rPr>
              <w:t xml:space="preserve">nistrativo expedido por la entidad competente que declare la afectación del inmueble. La Secretaría Distrital de Hacienda verificará la validez de la documentación presentada y, de cumplirse los requisitos, expedirá una resolución de exención aplicable al </w:t>
            </w:r>
            <w:r w:rsidRPr="004D3863">
              <w:rPr>
                <w:sz w:val="24"/>
                <w:szCs w:val="24"/>
              </w:rPr>
              <w:t>período fiscal correspondiente.</w:t>
            </w:r>
          </w:p>
          <w:p w:rsidR="00B22B98" w:rsidRPr="004D3863" w:rsidRDefault="00B22B98">
            <w:pPr>
              <w:widowControl/>
              <w:jc w:val="both"/>
              <w:rPr>
                <w:sz w:val="24"/>
                <w:szCs w:val="24"/>
              </w:rPr>
            </w:pPr>
          </w:p>
          <w:p w:rsidR="00B22B98" w:rsidRPr="004D3863" w:rsidRDefault="006A5DDF">
            <w:pPr>
              <w:widowControl/>
              <w:jc w:val="both"/>
              <w:rPr>
                <w:sz w:val="24"/>
                <w:szCs w:val="24"/>
              </w:rPr>
            </w:pPr>
            <w:r w:rsidRPr="004D3863">
              <w:rPr>
                <w:sz w:val="24"/>
                <w:szCs w:val="24"/>
              </w:rPr>
              <w:t>La Administración Distrital reglamentará los requisitos que deben acreditar los contribuyentes para acceder a esta exención.</w:t>
            </w:r>
          </w:p>
          <w:p w:rsidR="00B22B98" w:rsidRPr="004D3863" w:rsidRDefault="00B22B98">
            <w:pPr>
              <w:widowControl/>
              <w:jc w:val="both"/>
              <w:rPr>
                <w:sz w:val="24"/>
                <w:szCs w:val="24"/>
              </w:rPr>
            </w:pPr>
          </w:p>
          <w:p w:rsidR="00B22B98" w:rsidRPr="004D3863" w:rsidRDefault="006A5DDF">
            <w:pPr>
              <w:widowControl/>
              <w:jc w:val="both"/>
              <w:rPr>
                <w:b/>
                <w:sz w:val="24"/>
                <w:szCs w:val="24"/>
              </w:rPr>
            </w:pPr>
            <w:r w:rsidRPr="004D3863">
              <w:rPr>
                <w:b/>
                <w:sz w:val="24"/>
                <w:szCs w:val="24"/>
              </w:rPr>
              <w:t xml:space="preserve">Parágrafo. </w:t>
            </w:r>
            <w:r w:rsidRPr="004D3863">
              <w:rPr>
                <w:sz w:val="24"/>
                <w:szCs w:val="24"/>
              </w:rPr>
              <w:t>La exención se renovará automáticamente cada año mientras permanezca vigente el acto administrativo que certifique la afectación. En caso de que la situación de afectación cese, la exención será revocada de manera inmediata.</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98" w:rsidRPr="004D3863" w:rsidRDefault="006A5DDF">
            <w:pPr>
              <w:widowControl/>
              <w:spacing w:before="240" w:after="240"/>
              <w:jc w:val="center"/>
              <w:rPr>
                <w:sz w:val="24"/>
                <w:szCs w:val="24"/>
              </w:rPr>
            </w:pPr>
            <w:r w:rsidRPr="004D3863">
              <w:rPr>
                <w:b/>
                <w:sz w:val="24"/>
                <w:szCs w:val="24"/>
              </w:rPr>
              <w:t>Artículo 4</w:t>
            </w:r>
            <w:r w:rsidRPr="004D3863">
              <w:rPr>
                <w:sz w:val="24"/>
                <w:szCs w:val="24"/>
              </w:rPr>
              <w:t xml:space="preserve">. </w:t>
            </w:r>
            <w:r w:rsidRPr="004D3863">
              <w:rPr>
                <w:b/>
                <w:sz w:val="24"/>
                <w:szCs w:val="24"/>
              </w:rPr>
              <w:t>Procedimiento para la Aplicación de los Beneficios.</w:t>
            </w:r>
            <w:r w:rsidRPr="004D3863">
              <w:rPr>
                <w:sz w:val="24"/>
                <w:szCs w:val="24"/>
              </w:rPr>
              <w:t xml:space="preserve"> Los propietarios y poseedores de inmuebles comerciales, así como los negocios de la economía popular que sean afectados por obras públicas, podrán acceder a los beneficios establecidos en este acuerdo med</w:t>
            </w:r>
            <w:r w:rsidRPr="004D3863">
              <w:rPr>
                <w:sz w:val="24"/>
                <w:szCs w:val="24"/>
              </w:rPr>
              <w:t>iante el siguiente procedimiento:</w:t>
            </w:r>
          </w:p>
          <w:p w:rsidR="00B22B98" w:rsidRPr="004D3863" w:rsidRDefault="006A5DDF">
            <w:pPr>
              <w:widowControl/>
              <w:spacing w:before="240" w:after="240"/>
              <w:jc w:val="center"/>
              <w:rPr>
                <w:sz w:val="24"/>
                <w:szCs w:val="24"/>
              </w:rPr>
            </w:pPr>
            <w:r w:rsidRPr="004D3863">
              <w:rPr>
                <w:sz w:val="24"/>
                <w:szCs w:val="24"/>
              </w:rPr>
              <w:t xml:space="preserve"> </w:t>
            </w:r>
          </w:p>
          <w:p w:rsidR="00B22B98" w:rsidRPr="004D3863" w:rsidRDefault="006A5DDF">
            <w:pPr>
              <w:widowControl/>
              <w:spacing w:before="240" w:after="240"/>
              <w:jc w:val="center"/>
              <w:rPr>
                <w:sz w:val="24"/>
                <w:szCs w:val="24"/>
              </w:rPr>
            </w:pPr>
            <w:r w:rsidRPr="004D3863">
              <w:rPr>
                <w:b/>
                <w:sz w:val="24"/>
                <w:szCs w:val="24"/>
              </w:rPr>
              <w:t>Exención del Impuesto Predial:</w:t>
            </w:r>
            <w:r w:rsidRPr="004D3863">
              <w:rPr>
                <w:sz w:val="24"/>
                <w:szCs w:val="24"/>
              </w:rPr>
              <w:t xml:space="preserve"> Los propietarios o poseedores de inmuebles comerciales afectados deberán presentar una solicitud ante la Secretaría Distrital de Hacienda, adjuntando el acto administrativo expedido por la </w:t>
            </w:r>
            <w:r w:rsidRPr="004D3863">
              <w:rPr>
                <w:sz w:val="24"/>
                <w:szCs w:val="24"/>
              </w:rPr>
              <w:t>entidad competente que certifique la afectación del inmueble.</w:t>
            </w:r>
          </w:p>
          <w:p w:rsidR="00B22B98" w:rsidRPr="004D3863" w:rsidRDefault="006A5DDF">
            <w:pPr>
              <w:widowControl/>
              <w:spacing w:before="240" w:after="240"/>
              <w:jc w:val="center"/>
              <w:rPr>
                <w:sz w:val="24"/>
                <w:szCs w:val="24"/>
              </w:rPr>
            </w:pPr>
            <w:r w:rsidRPr="004D3863">
              <w:rPr>
                <w:sz w:val="24"/>
                <w:szCs w:val="24"/>
              </w:rPr>
              <w:t xml:space="preserve"> </w:t>
            </w:r>
          </w:p>
          <w:p w:rsidR="00B22B98" w:rsidRPr="004D3863" w:rsidRDefault="006A5DDF">
            <w:pPr>
              <w:widowControl/>
              <w:spacing w:before="240" w:after="240"/>
              <w:jc w:val="center"/>
              <w:rPr>
                <w:sz w:val="24"/>
                <w:szCs w:val="24"/>
              </w:rPr>
            </w:pPr>
            <w:r w:rsidRPr="004D3863">
              <w:rPr>
                <w:sz w:val="24"/>
                <w:szCs w:val="24"/>
              </w:rPr>
              <w:t>La Secretaría Distrital de Hacienda verificará la validez de la documentación y, de cumplirse los requisitos, expedirá la resolución de exención aplicable al período fiscal correspondiente.</w:t>
            </w:r>
          </w:p>
          <w:p w:rsidR="00B22B98" w:rsidRPr="004D3863" w:rsidRDefault="006A5DDF">
            <w:pPr>
              <w:widowControl/>
              <w:spacing w:before="240" w:after="240"/>
              <w:jc w:val="center"/>
              <w:rPr>
                <w:sz w:val="24"/>
                <w:szCs w:val="24"/>
              </w:rPr>
            </w:pPr>
            <w:r w:rsidRPr="004D3863">
              <w:rPr>
                <w:sz w:val="24"/>
                <w:szCs w:val="24"/>
              </w:rPr>
              <w:t xml:space="preserve"> </w:t>
            </w:r>
          </w:p>
          <w:p w:rsidR="00B22B98" w:rsidRPr="004D3863" w:rsidRDefault="006A5DDF">
            <w:pPr>
              <w:widowControl/>
              <w:spacing w:before="240" w:after="240"/>
              <w:jc w:val="center"/>
              <w:rPr>
                <w:sz w:val="24"/>
                <w:szCs w:val="24"/>
              </w:rPr>
            </w:pPr>
            <w:r w:rsidRPr="004D3863">
              <w:rPr>
                <w:b/>
                <w:sz w:val="24"/>
                <w:szCs w:val="24"/>
              </w:rPr>
              <w:t>Exención del Impuesto de Industria y Comercio (ICA) para negocios de la economía popular:</w:t>
            </w:r>
            <w:r w:rsidRPr="004D3863">
              <w:rPr>
                <w:sz w:val="24"/>
                <w:szCs w:val="24"/>
              </w:rPr>
              <w:t xml:space="preserve"> Los negocios de la economía popular que acrediten afectación económica podrán presentar su solicitud ante el Instituto para la Economía Social (IPES), anexando docume</w:t>
            </w:r>
            <w:r w:rsidRPr="004D3863">
              <w:rPr>
                <w:sz w:val="24"/>
                <w:szCs w:val="24"/>
              </w:rPr>
              <w:t>ntación que respalde la disminución de ingresos o restricciones en su operación derivadas de la obra pública.</w:t>
            </w:r>
          </w:p>
          <w:p w:rsidR="00B22B98" w:rsidRPr="004D3863" w:rsidRDefault="006A5DDF">
            <w:pPr>
              <w:widowControl/>
              <w:spacing w:before="240" w:after="240"/>
              <w:jc w:val="center"/>
              <w:rPr>
                <w:sz w:val="24"/>
                <w:szCs w:val="24"/>
              </w:rPr>
            </w:pPr>
            <w:r w:rsidRPr="004D3863">
              <w:rPr>
                <w:sz w:val="24"/>
                <w:szCs w:val="24"/>
              </w:rPr>
              <w:t xml:space="preserve"> </w:t>
            </w:r>
          </w:p>
          <w:p w:rsidR="00B22B98" w:rsidRPr="004D3863" w:rsidRDefault="006A5DDF">
            <w:pPr>
              <w:widowControl/>
              <w:spacing w:before="240" w:after="240"/>
              <w:jc w:val="center"/>
              <w:rPr>
                <w:sz w:val="24"/>
                <w:szCs w:val="24"/>
              </w:rPr>
            </w:pPr>
            <w:r w:rsidRPr="004D3863">
              <w:rPr>
                <w:b/>
                <w:sz w:val="24"/>
                <w:szCs w:val="24"/>
              </w:rPr>
              <w:t>Verificación de la afectación:</w:t>
            </w:r>
            <w:r w:rsidRPr="004D3863">
              <w:rPr>
                <w:sz w:val="24"/>
                <w:szCs w:val="24"/>
              </w:rPr>
              <w:t xml:space="preserve"> La afectación económica será verificada por un comité técnico conformado por la Secretaría de Desarrollo Económic</w:t>
            </w:r>
            <w:r w:rsidRPr="004D3863">
              <w:rPr>
                <w:sz w:val="24"/>
                <w:szCs w:val="24"/>
              </w:rPr>
              <w:t xml:space="preserve">o, el Instituto de Desarrollo Urbano (IDU) y el IPES, quienes </w:t>
            </w:r>
            <w:r w:rsidRPr="004D3863">
              <w:rPr>
                <w:sz w:val="24"/>
                <w:szCs w:val="24"/>
              </w:rPr>
              <w:lastRenderedPageBreak/>
              <w:t>evaluarán la solicitud y emitirán el concepto correspondiente.</w:t>
            </w:r>
          </w:p>
          <w:p w:rsidR="00B22B98" w:rsidRPr="004D3863" w:rsidRDefault="006A5DDF">
            <w:pPr>
              <w:widowControl/>
              <w:spacing w:before="240" w:after="240"/>
              <w:jc w:val="center"/>
              <w:rPr>
                <w:sz w:val="24"/>
                <w:szCs w:val="24"/>
              </w:rPr>
            </w:pPr>
            <w:r w:rsidRPr="004D3863">
              <w:rPr>
                <w:sz w:val="24"/>
                <w:szCs w:val="24"/>
              </w:rPr>
              <w:t xml:space="preserve"> </w:t>
            </w:r>
          </w:p>
          <w:p w:rsidR="00B22B98" w:rsidRPr="004D3863" w:rsidRDefault="006A5DDF">
            <w:pPr>
              <w:widowControl/>
              <w:spacing w:before="240" w:after="240"/>
              <w:jc w:val="center"/>
              <w:rPr>
                <w:sz w:val="24"/>
                <w:szCs w:val="24"/>
              </w:rPr>
            </w:pPr>
            <w:r w:rsidRPr="004D3863">
              <w:rPr>
                <w:b/>
                <w:sz w:val="24"/>
                <w:szCs w:val="24"/>
              </w:rPr>
              <w:t xml:space="preserve">Parágrafo: </w:t>
            </w:r>
            <w:r w:rsidRPr="004D3863">
              <w:rPr>
                <w:sz w:val="24"/>
                <w:szCs w:val="24"/>
              </w:rPr>
              <w:t>La exención tributaria se renovará automáticamente cada año mientras permanezca vigente el acto administrativo que cer</w:t>
            </w:r>
            <w:r w:rsidRPr="004D3863">
              <w:rPr>
                <w:sz w:val="24"/>
                <w:szCs w:val="24"/>
              </w:rPr>
              <w:t>tifique la afectación. En caso de que la afectación cese, la exención será revocada de manera inmediata.</w:t>
            </w:r>
          </w:p>
          <w:p w:rsidR="00B22B98" w:rsidRPr="004D3863" w:rsidRDefault="00B22B98">
            <w:pPr>
              <w:widowControl/>
              <w:jc w:val="both"/>
              <w:rPr>
                <w:sz w:val="24"/>
                <w:szCs w:val="24"/>
              </w:rPr>
            </w:pPr>
          </w:p>
        </w:tc>
      </w:tr>
      <w:tr w:rsidR="00B22B98" w:rsidRPr="004D3863">
        <w:trPr>
          <w:trHeight w:val="300"/>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98" w:rsidRPr="004D3863" w:rsidRDefault="006A5DDF">
            <w:pPr>
              <w:widowControl/>
              <w:jc w:val="both"/>
              <w:rPr>
                <w:sz w:val="24"/>
                <w:szCs w:val="24"/>
              </w:rPr>
            </w:pPr>
            <w:r w:rsidRPr="004D3863">
              <w:rPr>
                <w:b/>
                <w:sz w:val="24"/>
                <w:szCs w:val="24"/>
              </w:rPr>
              <w:lastRenderedPageBreak/>
              <w:t>Artículo 5. Reconocimiento de exenciones.</w:t>
            </w:r>
            <w:r w:rsidRPr="004D3863">
              <w:rPr>
                <w:sz w:val="24"/>
                <w:szCs w:val="24"/>
              </w:rPr>
              <w:t xml:space="preserve"> La Secretaría Distrital de Hacienda, deberá verificar si el contribuyente cumple con los requisitos para ac</w:t>
            </w:r>
            <w:r w:rsidRPr="004D3863">
              <w:rPr>
                <w:sz w:val="24"/>
                <w:szCs w:val="24"/>
              </w:rPr>
              <w:t>ceder al beneficio del no pago del impuesto predial unificado, siempre y cuando se encuentre al día en el pago por concepto de impuestos distritales o demás obligaciones tributarias.</w:t>
            </w:r>
          </w:p>
          <w:p w:rsidR="00B22B98" w:rsidRPr="004D3863" w:rsidRDefault="00B22B98">
            <w:pPr>
              <w:widowControl/>
              <w:jc w:val="both"/>
              <w:rPr>
                <w:sz w:val="24"/>
                <w:szCs w:val="24"/>
              </w:rPr>
            </w:pPr>
          </w:p>
          <w:p w:rsidR="00B22B98" w:rsidRPr="004D3863" w:rsidRDefault="006A5DDF">
            <w:pPr>
              <w:widowControl/>
              <w:jc w:val="both"/>
              <w:rPr>
                <w:b/>
                <w:sz w:val="24"/>
                <w:szCs w:val="24"/>
              </w:rPr>
            </w:pPr>
            <w:r w:rsidRPr="004D3863">
              <w:rPr>
                <w:b/>
                <w:sz w:val="24"/>
                <w:szCs w:val="24"/>
              </w:rPr>
              <w:t xml:space="preserve">Parágrafo. </w:t>
            </w:r>
            <w:r w:rsidRPr="004D3863">
              <w:rPr>
                <w:sz w:val="24"/>
                <w:szCs w:val="24"/>
              </w:rPr>
              <w:t>Los pagos efectuados antes de declararse la exención no serán</w:t>
            </w:r>
            <w:r w:rsidRPr="004D3863">
              <w:rPr>
                <w:sz w:val="24"/>
                <w:szCs w:val="24"/>
              </w:rPr>
              <w:t xml:space="preserve"> objeto de devolución o compensación.</w:t>
            </w:r>
          </w:p>
        </w:tc>
        <w:tc>
          <w:tcPr>
            <w:tcW w:w="4642" w:type="dxa"/>
            <w:tcBorders>
              <w:top w:val="single" w:sz="4" w:space="0" w:color="000000"/>
              <w:left w:val="single" w:sz="4" w:space="0" w:color="000000"/>
              <w:bottom w:val="single" w:sz="8" w:space="0" w:color="000000"/>
              <w:right w:val="single" w:sz="4" w:space="0" w:color="000000"/>
            </w:tcBorders>
            <w:shd w:val="clear" w:color="auto" w:fill="auto"/>
            <w:vAlign w:val="center"/>
          </w:tcPr>
          <w:p w:rsidR="00B22B98" w:rsidRPr="004D3863" w:rsidRDefault="006A5DDF">
            <w:pPr>
              <w:widowControl/>
              <w:spacing w:before="240" w:after="240"/>
              <w:jc w:val="center"/>
              <w:rPr>
                <w:sz w:val="24"/>
                <w:szCs w:val="24"/>
              </w:rPr>
            </w:pPr>
            <w:r w:rsidRPr="004D3863">
              <w:rPr>
                <w:b/>
                <w:sz w:val="24"/>
                <w:szCs w:val="24"/>
              </w:rPr>
              <w:t>Artículo 5. Reconocimiento de exenciones</w:t>
            </w:r>
            <w:r w:rsidRPr="004D3863">
              <w:rPr>
                <w:sz w:val="24"/>
                <w:szCs w:val="24"/>
              </w:rPr>
              <w:t>. La Secretaría Distrital de Hacienda, deberá verificar si el contribuyente cumple con los requisitos para acceder al beneficio del no pago del impuesto predial unificado y el IC</w:t>
            </w:r>
            <w:r w:rsidRPr="004D3863">
              <w:rPr>
                <w:sz w:val="24"/>
                <w:szCs w:val="24"/>
              </w:rPr>
              <w:t>A, siempre y cuando se encuentre al día en el pago por concepto de impuestos distritales o demás obligaciones tributarias.</w:t>
            </w:r>
          </w:p>
          <w:p w:rsidR="00B22B98" w:rsidRPr="004D3863" w:rsidRDefault="00B22B98">
            <w:pPr>
              <w:widowControl/>
              <w:spacing w:line="256" w:lineRule="auto"/>
              <w:jc w:val="both"/>
              <w:rPr>
                <w:sz w:val="24"/>
                <w:szCs w:val="24"/>
              </w:rPr>
            </w:pPr>
          </w:p>
          <w:p w:rsidR="00B22B98" w:rsidRPr="004D3863" w:rsidRDefault="006A5DDF">
            <w:pPr>
              <w:widowControl/>
              <w:jc w:val="both"/>
              <w:rPr>
                <w:sz w:val="24"/>
                <w:szCs w:val="24"/>
              </w:rPr>
            </w:pPr>
            <w:r w:rsidRPr="004D3863">
              <w:rPr>
                <w:b/>
                <w:sz w:val="24"/>
                <w:szCs w:val="24"/>
              </w:rPr>
              <w:t>Parágrafo.</w:t>
            </w:r>
            <w:r w:rsidRPr="004D3863">
              <w:rPr>
                <w:sz w:val="24"/>
                <w:szCs w:val="24"/>
              </w:rPr>
              <w:t xml:space="preserve"> Los pagos efectuados antes de declararse la exención no serán objeto de devolución o compensación.</w:t>
            </w:r>
          </w:p>
        </w:tc>
      </w:tr>
      <w:tr w:rsidR="00B22B98" w:rsidRPr="004D3863">
        <w:trPr>
          <w:trHeight w:val="3255"/>
        </w:trPr>
        <w:tc>
          <w:tcPr>
            <w:tcW w:w="4420" w:type="dxa"/>
            <w:tcBorders>
              <w:top w:val="single" w:sz="4" w:space="0" w:color="000000"/>
              <w:left w:val="single" w:sz="8" w:space="0" w:color="000000"/>
              <w:bottom w:val="nil"/>
              <w:right w:val="single" w:sz="8" w:space="0" w:color="000000"/>
            </w:tcBorders>
            <w:shd w:val="clear" w:color="auto" w:fill="auto"/>
            <w:vAlign w:val="center"/>
          </w:tcPr>
          <w:p w:rsidR="00B22B98" w:rsidRPr="004D3863" w:rsidRDefault="006A5DDF">
            <w:pPr>
              <w:widowControl/>
              <w:jc w:val="both"/>
              <w:rPr>
                <w:sz w:val="24"/>
                <w:szCs w:val="24"/>
              </w:rPr>
            </w:pPr>
            <w:r w:rsidRPr="004D3863">
              <w:rPr>
                <w:b/>
                <w:sz w:val="24"/>
                <w:szCs w:val="24"/>
              </w:rPr>
              <w:lastRenderedPageBreak/>
              <w:t xml:space="preserve">Artículo 6. Tiempo. </w:t>
            </w:r>
            <w:r w:rsidRPr="004D3863">
              <w:rPr>
                <w:sz w:val="24"/>
                <w:szCs w:val="24"/>
              </w:rPr>
              <w:t>La exención del impuesto predial será aplicable durante el período en el que la afectación permanezca vigente, conforme lo determine el acto administrativo expedido por la autoridad competente.</w:t>
            </w:r>
          </w:p>
          <w:p w:rsidR="00B22B98" w:rsidRPr="004D3863" w:rsidRDefault="00B22B98">
            <w:pPr>
              <w:widowControl/>
              <w:jc w:val="both"/>
              <w:rPr>
                <w:sz w:val="24"/>
                <w:szCs w:val="24"/>
              </w:rPr>
            </w:pPr>
          </w:p>
          <w:p w:rsidR="00B22B98" w:rsidRPr="004D3863" w:rsidRDefault="006A5DDF">
            <w:pPr>
              <w:widowControl/>
              <w:jc w:val="both"/>
              <w:rPr>
                <w:sz w:val="24"/>
                <w:szCs w:val="24"/>
              </w:rPr>
            </w:pPr>
            <w:r w:rsidRPr="004D3863">
              <w:rPr>
                <w:b/>
                <w:sz w:val="24"/>
                <w:szCs w:val="24"/>
              </w:rPr>
              <w:t>Parágrafo.</w:t>
            </w:r>
            <w:r w:rsidRPr="004D3863">
              <w:rPr>
                <w:sz w:val="24"/>
                <w:szCs w:val="24"/>
              </w:rPr>
              <w:t xml:space="preserve"> El plazo para presentar la solicitud de exención s</w:t>
            </w:r>
            <w:r w:rsidRPr="004D3863">
              <w:rPr>
                <w:sz w:val="24"/>
                <w:szCs w:val="24"/>
              </w:rPr>
              <w:t>erá de 90 días contados a partir de la expedición del acto administrativo de afectación. En caso de que el solicitante no presente la solicitud dentro de este plazo, perderá el derecho a solicitar la exención para el período fiscal en curso.</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98" w:rsidRPr="004D3863" w:rsidRDefault="006A5DDF">
            <w:pPr>
              <w:spacing w:before="240" w:after="240" w:line="276" w:lineRule="auto"/>
              <w:jc w:val="center"/>
              <w:rPr>
                <w:sz w:val="24"/>
                <w:szCs w:val="24"/>
              </w:rPr>
            </w:pPr>
            <w:r w:rsidRPr="004D3863">
              <w:rPr>
                <w:b/>
                <w:sz w:val="24"/>
                <w:szCs w:val="24"/>
              </w:rPr>
              <w:t>Artículo 6. Ti</w:t>
            </w:r>
            <w:r w:rsidRPr="004D3863">
              <w:rPr>
                <w:b/>
                <w:sz w:val="24"/>
                <w:szCs w:val="24"/>
              </w:rPr>
              <w:t xml:space="preserve">empo. </w:t>
            </w:r>
            <w:r w:rsidRPr="004D3863">
              <w:rPr>
                <w:sz w:val="24"/>
                <w:szCs w:val="24"/>
              </w:rPr>
              <w:t xml:space="preserve">La exención del impuesto predial y el ICA será aplicable durante el período en el que la afectación permanezca vigente, conforme lo determine el acto administrativo expedido por la autoridad competente. </w:t>
            </w:r>
          </w:p>
          <w:p w:rsidR="00B22B98" w:rsidRPr="004D3863" w:rsidRDefault="006A5DDF">
            <w:pPr>
              <w:spacing w:before="240" w:after="240" w:line="276" w:lineRule="auto"/>
              <w:jc w:val="center"/>
              <w:rPr>
                <w:sz w:val="24"/>
                <w:szCs w:val="24"/>
              </w:rPr>
            </w:pPr>
            <w:r w:rsidRPr="004D3863">
              <w:rPr>
                <w:b/>
                <w:sz w:val="24"/>
                <w:szCs w:val="24"/>
              </w:rPr>
              <w:t>Parágrafo.</w:t>
            </w:r>
            <w:r w:rsidRPr="004D3863">
              <w:rPr>
                <w:sz w:val="24"/>
                <w:szCs w:val="24"/>
              </w:rPr>
              <w:t xml:space="preserve"> El plazo para presentar la solicitu</w:t>
            </w:r>
            <w:r w:rsidRPr="004D3863">
              <w:rPr>
                <w:sz w:val="24"/>
                <w:szCs w:val="24"/>
              </w:rPr>
              <w:t>d de exención será de 90 días contados a partir de la expedición del acto administrativo de afectación. En caso de que el solicitante no presente la solicitud dentro de este plazo, perderá el derecho a solicitar la exención para el período fiscal en curso.</w:t>
            </w:r>
          </w:p>
          <w:p w:rsidR="00B22B98" w:rsidRPr="004D3863" w:rsidRDefault="00B22B98">
            <w:pPr>
              <w:pBdr>
                <w:top w:val="nil"/>
                <w:left w:val="nil"/>
                <w:bottom w:val="nil"/>
                <w:right w:val="nil"/>
                <w:between w:val="nil"/>
              </w:pBdr>
              <w:spacing w:line="276" w:lineRule="auto"/>
              <w:rPr>
                <w:sz w:val="24"/>
                <w:szCs w:val="24"/>
              </w:rPr>
            </w:pPr>
          </w:p>
        </w:tc>
      </w:tr>
      <w:tr w:rsidR="00B22B98" w:rsidRPr="004D3863">
        <w:trPr>
          <w:trHeight w:val="300"/>
        </w:trPr>
        <w:tc>
          <w:tcPr>
            <w:tcW w:w="4420" w:type="dxa"/>
            <w:tcBorders>
              <w:top w:val="single" w:sz="8" w:space="0" w:color="000000"/>
              <w:left w:val="single" w:sz="8" w:space="0" w:color="000000"/>
              <w:bottom w:val="nil"/>
              <w:right w:val="single" w:sz="8" w:space="0" w:color="000000"/>
            </w:tcBorders>
            <w:shd w:val="clear" w:color="auto" w:fill="auto"/>
            <w:vAlign w:val="center"/>
          </w:tcPr>
          <w:p w:rsidR="00B22B98" w:rsidRPr="004D3863" w:rsidRDefault="006A5DDF">
            <w:pPr>
              <w:widowControl/>
              <w:jc w:val="both"/>
              <w:rPr>
                <w:b/>
                <w:color w:val="000000"/>
                <w:sz w:val="24"/>
                <w:szCs w:val="24"/>
              </w:rPr>
            </w:pPr>
            <w:r w:rsidRPr="004D3863">
              <w:rPr>
                <w:b/>
                <w:sz w:val="24"/>
                <w:szCs w:val="24"/>
              </w:rPr>
              <w:t>Artículo 7.</w:t>
            </w:r>
            <w:r w:rsidRPr="004D3863">
              <w:rPr>
                <w:sz w:val="24"/>
                <w:szCs w:val="24"/>
              </w:rPr>
              <w:t xml:space="preserve"> </w:t>
            </w:r>
            <w:r w:rsidRPr="004D3863">
              <w:rPr>
                <w:b/>
                <w:sz w:val="24"/>
                <w:szCs w:val="24"/>
              </w:rPr>
              <w:t>Vigencia.</w:t>
            </w:r>
            <w:r w:rsidRPr="004D3863">
              <w:rPr>
                <w:sz w:val="24"/>
                <w:szCs w:val="24"/>
              </w:rPr>
              <w:t xml:space="preserve"> El presente Acuerdo rige a partir de la fecha de su sanción.</w:t>
            </w:r>
          </w:p>
        </w:tc>
        <w:tc>
          <w:tcPr>
            <w:tcW w:w="46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B22B98" w:rsidRPr="004D3863" w:rsidRDefault="006A5DDF">
            <w:pPr>
              <w:widowControl/>
              <w:rPr>
                <w:color w:val="000000"/>
                <w:sz w:val="24"/>
                <w:szCs w:val="24"/>
              </w:rPr>
            </w:pPr>
            <w:r w:rsidRPr="004D3863">
              <w:rPr>
                <w:sz w:val="24"/>
                <w:szCs w:val="24"/>
              </w:rPr>
              <w:t>Sin modificación</w:t>
            </w:r>
          </w:p>
        </w:tc>
      </w:tr>
      <w:tr w:rsidR="00B22B98" w:rsidRPr="004D3863">
        <w:trPr>
          <w:trHeight w:val="315"/>
        </w:trPr>
        <w:tc>
          <w:tcPr>
            <w:tcW w:w="4420" w:type="dxa"/>
            <w:tcBorders>
              <w:top w:val="nil"/>
              <w:left w:val="single" w:sz="8" w:space="0" w:color="000000"/>
              <w:bottom w:val="single" w:sz="8" w:space="0" w:color="000000"/>
              <w:right w:val="single" w:sz="8" w:space="0" w:color="000000"/>
            </w:tcBorders>
            <w:shd w:val="clear" w:color="auto" w:fill="auto"/>
            <w:vAlign w:val="center"/>
          </w:tcPr>
          <w:p w:rsidR="00B22B98" w:rsidRPr="004D3863" w:rsidRDefault="00B22B98">
            <w:pPr>
              <w:widowControl/>
              <w:rPr>
                <w:color w:val="000000"/>
                <w:sz w:val="24"/>
                <w:szCs w:val="24"/>
              </w:rPr>
            </w:pPr>
          </w:p>
        </w:tc>
        <w:tc>
          <w:tcPr>
            <w:tcW w:w="464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B22B98" w:rsidRPr="004D3863" w:rsidRDefault="00B22B98">
            <w:pPr>
              <w:pBdr>
                <w:top w:val="nil"/>
                <w:left w:val="nil"/>
                <w:bottom w:val="nil"/>
                <w:right w:val="nil"/>
                <w:between w:val="nil"/>
              </w:pBdr>
              <w:spacing w:line="276" w:lineRule="auto"/>
              <w:rPr>
                <w:color w:val="000000"/>
                <w:sz w:val="24"/>
                <w:szCs w:val="24"/>
              </w:rPr>
            </w:pPr>
          </w:p>
        </w:tc>
      </w:tr>
    </w:tbl>
    <w:p w:rsidR="00B22B98" w:rsidRPr="004D3863" w:rsidRDefault="00B22B98">
      <w:pPr>
        <w:tabs>
          <w:tab w:val="left" w:pos="685"/>
        </w:tabs>
        <w:rPr>
          <w:b/>
          <w:sz w:val="24"/>
          <w:szCs w:val="24"/>
        </w:rPr>
      </w:pPr>
    </w:p>
    <w:p w:rsidR="00B22B98" w:rsidRPr="004D3863" w:rsidRDefault="006A5DDF">
      <w:pPr>
        <w:numPr>
          <w:ilvl w:val="0"/>
          <w:numId w:val="3"/>
        </w:numPr>
        <w:pBdr>
          <w:top w:val="nil"/>
          <w:left w:val="nil"/>
          <w:bottom w:val="nil"/>
          <w:right w:val="nil"/>
          <w:between w:val="nil"/>
        </w:pBdr>
        <w:tabs>
          <w:tab w:val="left" w:pos="939"/>
        </w:tabs>
        <w:spacing w:before="1"/>
        <w:rPr>
          <w:rFonts w:ascii="Arial" w:eastAsia="Arial" w:hAnsi="Arial" w:cs="Arial"/>
          <w:b/>
          <w:color w:val="000000"/>
          <w:sz w:val="24"/>
          <w:szCs w:val="24"/>
        </w:rPr>
      </w:pPr>
      <w:r w:rsidRPr="004D3863">
        <w:rPr>
          <w:rFonts w:ascii="Arial" w:eastAsia="Arial" w:hAnsi="Arial" w:cs="Arial"/>
          <w:b/>
          <w:color w:val="000000"/>
          <w:sz w:val="24"/>
          <w:szCs w:val="24"/>
        </w:rPr>
        <w:t>CONCLUSIONES.</w:t>
      </w:r>
    </w:p>
    <w:p w:rsidR="00B22B98" w:rsidRPr="004D3863" w:rsidRDefault="006A5DDF">
      <w:pPr>
        <w:spacing w:before="240" w:after="240" w:line="360" w:lineRule="auto"/>
        <w:jc w:val="both"/>
        <w:rPr>
          <w:sz w:val="24"/>
          <w:szCs w:val="24"/>
        </w:rPr>
      </w:pPr>
      <w:r w:rsidRPr="004D3863">
        <w:rPr>
          <w:sz w:val="24"/>
          <w:szCs w:val="24"/>
        </w:rPr>
        <w:t xml:space="preserve">Con estas modificaciones, el Proyecto de Acuerdo </w:t>
      </w:r>
      <w:r w:rsidRPr="004D3863">
        <w:rPr>
          <w:b/>
          <w:sz w:val="24"/>
          <w:szCs w:val="24"/>
        </w:rPr>
        <w:t>amplía su alcance y fortalece su impacto social y económico</w:t>
      </w:r>
      <w:r w:rsidRPr="004D3863">
        <w:rPr>
          <w:sz w:val="24"/>
          <w:szCs w:val="24"/>
        </w:rPr>
        <w:t xml:space="preserve">, garantizando que no solo los propietarios y poseedores de inmuebles sean beneficiados, sino también los </w:t>
      </w:r>
      <w:r w:rsidRPr="004D3863">
        <w:rPr>
          <w:b/>
          <w:sz w:val="24"/>
          <w:szCs w:val="24"/>
        </w:rPr>
        <w:t>negocios de la economía popular</w:t>
      </w:r>
      <w:r w:rsidRPr="004D3863">
        <w:rPr>
          <w:sz w:val="24"/>
          <w:szCs w:val="24"/>
        </w:rPr>
        <w:t>, que representan la base económica de muchas familias bogotanas.</w:t>
      </w:r>
    </w:p>
    <w:p w:rsidR="00B22B98" w:rsidRPr="004D3863" w:rsidRDefault="006A5DDF">
      <w:pPr>
        <w:numPr>
          <w:ilvl w:val="0"/>
          <w:numId w:val="2"/>
        </w:numPr>
        <w:spacing w:before="240" w:line="360" w:lineRule="auto"/>
        <w:jc w:val="both"/>
        <w:rPr>
          <w:sz w:val="24"/>
          <w:szCs w:val="24"/>
        </w:rPr>
      </w:pPr>
      <w:r w:rsidRPr="004D3863">
        <w:rPr>
          <w:sz w:val="24"/>
          <w:szCs w:val="24"/>
        </w:rPr>
        <w:t xml:space="preserve">Se mantiene la </w:t>
      </w:r>
      <w:r w:rsidRPr="004D3863">
        <w:rPr>
          <w:b/>
          <w:sz w:val="24"/>
          <w:szCs w:val="24"/>
        </w:rPr>
        <w:t>exención del impuesto predial</w:t>
      </w:r>
      <w:r w:rsidRPr="004D3863">
        <w:rPr>
          <w:sz w:val="24"/>
          <w:szCs w:val="24"/>
        </w:rPr>
        <w:t xml:space="preserve"> para pro</w:t>
      </w:r>
      <w:r w:rsidRPr="004D3863">
        <w:rPr>
          <w:sz w:val="24"/>
          <w:szCs w:val="24"/>
        </w:rPr>
        <w:t>pietarios y poseedores.</w:t>
      </w:r>
    </w:p>
    <w:p w:rsidR="00B22B98" w:rsidRPr="004D3863" w:rsidRDefault="006A5DDF">
      <w:pPr>
        <w:numPr>
          <w:ilvl w:val="0"/>
          <w:numId w:val="2"/>
        </w:numPr>
        <w:spacing w:line="360" w:lineRule="auto"/>
        <w:jc w:val="both"/>
        <w:rPr>
          <w:sz w:val="24"/>
          <w:szCs w:val="24"/>
        </w:rPr>
      </w:pPr>
      <w:r w:rsidRPr="004D3863">
        <w:rPr>
          <w:sz w:val="24"/>
          <w:szCs w:val="24"/>
        </w:rPr>
        <w:t xml:space="preserve">Se introduce la </w:t>
      </w:r>
      <w:r w:rsidRPr="004D3863">
        <w:rPr>
          <w:b/>
          <w:sz w:val="24"/>
          <w:szCs w:val="24"/>
        </w:rPr>
        <w:t>exención del ICA y compensaciones económicas</w:t>
      </w:r>
      <w:r w:rsidRPr="004D3863">
        <w:rPr>
          <w:sz w:val="24"/>
          <w:szCs w:val="24"/>
        </w:rPr>
        <w:t xml:space="preserve"> para negocios de la economía popular afectados.</w:t>
      </w:r>
    </w:p>
    <w:p w:rsidR="00B22B98" w:rsidRPr="004D3863" w:rsidRDefault="006A5DDF">
      <w:pPr>
        <w:numPr>
          <w:ilvl w:val="0"/>
          <w:numId w:val="2"/>
        </w:numPr>
        <w:spacing w:after="240" w:line="360" w:lineRule="auto"/>
        <w:jc w:val="both"/>
        <w:rPr>
          <w:sz w:val="24"/>
          <w:szCs w:val="24"/>
        </w:rPr>
      </w:pPr>
      <w:r w:rsidRPr="004D3863">
        <w:rPr>
          <w:sz w:val="24"/>
          <w:szCs w:val="24"/>
        </w:rPr>
        <w:t xml:space="preserve">Se asigna la responsabilidad de implementación al </w:t>
      </w:r>
      <w:r w:rsidRPr="004D3863">
        <w:rPr>
          <w:b/>
          <w:sz w:val="24"/>
          <w:szCs w:val="24"/>
        </w:rPr>
        <w:t>IPES y la Secretaría de Desarrollo Económico</w:t>
      </w:r>
      <w:r w:rsidRPr="004D3863">
        <w:rPr>
          <w:sz w:val="24"/>
          <w:szCs w:val="24"/>
        </w:rPr>
        <w:t>, asegurando una distribución</w:t>
      </w:r>
      <w:r w:rsidRPr="004D3863">
        <w:rPr>
          <w:sz w:val="24"/>
          <w:szCs w:val="24"/>
        </w:rPr>
        <w:t xml:space="preserve"> equitativa de los beneficios. </w:t>
      </w:r>
    </w:p>
    <w:p w:rsidR="00B22B98" w:rsidRPr="004D3863" w:rsidRDefault="006A5DDF">
      <w:pPr>
        <w:spacing w:before="240" w:after="240" w:line="360" w:lineRule="auto"/>
        <w:jc w:val="both"/>
        <w:rPr>
          <w:sz w:val="24"/>
          <w:szCs w:val="24"/>
        </w:rPr>
      </w:pPr>
      <w:r w:rsidRPr="004D3863">
        <w:rPr>
          <w:sz w:val="24"/>
          <w:szCs w:val="24"/>
        </w:rPr>
        <w:t xml:space="preserve">Esta propuesta responde a la necesidad de mitigar los efectos negativos de las obras públicas sobre los sectores más vulnerables de Bogotá, garantizando un desarrollo urbano más equitativo y sostenible. </w:t>
      </w:r>
    </w:p>
    <w:p w:rsidR="00B22B98" w:rsidRPr="004D3863" w:rsidRDefault="006A5DDF">
      <w:pPr>
        <w:spacing w:before="137"/>
        <w:rPr>
          <w:b/>
          <w:sz w:val="24"/>
          <w:szCs w:val="24"/>
        </w:rPr>
      </w:pPr>
      <w:r w:rsidRPr="004D3863">
        <w:rPr>
          <w:b/>
          <w:sz w:val="24"/>
          <w:szCs w:val="24"/>
        </w:rPr>
        <w:t>En virtud de lo ante</w:t>
      </w:r>
      <w:r w:rsidRPr="004D3863">
        <w:rPr>
          <w:b/>
          <w:sz w:val="24"/>
          <w:szCs w:val="24"/>
        </w:rPr>
        <w:t xml:space="preserve">riormente expuesto, la competencia del Concejo de Bogotá y la </w:t>
      </w:r>
      <w:r w:rsidRPr="004D3863">
        <w:rPr>
          <w:b/>
          <w:sz w:val="24"/>
          <w:szCs w:val="24"/>
        </w:rPr>
        <w:lastRenderedPageBreak/>
        <w:t>pertinencia de la presente iniciativa, me permito rendir PONENCIA POSITIVA CON MODIFICACIONES al Proyecto de Acuerdo No. 388 de 2025.</w:t>
      </w:r>
    </w:p>
    <w:p w:rsidR="00B22B98" w:rsidRPr="004D3863" w:rsidRDefault="00B22B98">
      <w:pPr>
        <w:spacing w:before="137"/>
        <w:rPr>
          <w:b/>
          <w:sz w:val="24"/>
          <w:szCs w:val="24"/>
        </w:rPr>
      </w:pPr>
    </w:p>
    <w:p w:rsidR="00B22B98" w:rsidRPr="004D3863" w:rsidRDefault="006A5DDF">
      <w:pPr>
        <w:ind w:left="219"/>
        <w:rPr>
          <w:sz w:val="24"/>
          <w:szCs w:val="24"/>
        </w:rPr>
      </w:pPr>
      <w:r w:rsidRPr="004D3863">
        <w:rPr>
          <w:sz w:val="24"/>
          <w:szCs w:val="24"/>
        </w:rPr>
        <w:t>Cordialmente,</w:t>
      </w:r>
    </w:p>
    <w:p w:rsidR="00B22B98" w:rsidRPr="004D3863" w:rsidRDefault="00B22B98">
      <w:pPr>
        <w:spacing w:before="2"/>
        <w:rPr>
          <w:sz w:val="24"/>
          <w:szCs w:val="24"/>
        </w:rPr>
      </w:pPr>
      <w:bookmarkStart w:id="0" w:name="_GoBack"/>
      <w:bookmarkEnd w:id="0"/>
    </w:p>
    <w:p w:rsidR="00B22B98" w:rsidRPr="004D3863" w:rsidRDefault="00B22B98">
      <w:pPr>
        <w:spacing w:before="2"/>
        <w:rPr>
          <w:sz w:val="24"/>
          <w:szCs w:val="24"/>
        </w:rPr>
      </w:pPr>
    </w:p>
    <w:p w:rsidR="00B22B98" w:rsidRPr="004D3863" w:rsidRDefault="00B22B98">
      <w:pPr>
        <w:spacing w:before="2"/>
        <w:rPr>
          <w:sz w:val="24"/>
          <w:szCs w:val="24"/>
        </w:rPr>
      </w:pPr>
    </w:p>
    <w:p w:rsidR="00B22B98" w:rsidRPr="004D3863" w:rsidRDefault="006A5DDF">
      <w:pPr>
        <w:ind w:left="219"/>
        <w:rPr>
          <w:b/>
          <w:sz w:val="24"/>
          <w:szCs w:val="24"/>
        </w:rPr>
      </w:pPr>
      <w:r w:rsidRPr="004D3863">
        <w:rPr>
          <w:b/>
          <w:sz w:val="24"/>
          <w:szCs w:val="24"/>
        </w:rPr>
        <w:t>Donka Atanassova Iakimova</w:t>
      </w:r>
    </w:p>
    <w:p w:rsidR="00B22B98" w:rsidRPr="004D3863" w:rsidRDefault="006A5DDF">
      <w:pPr>
        <w:ind w:left="219"/>
        <w:rPr>
          <w:sz w:val="24"/>
          <w:szCs w:val="24"/>
        </w:rPr>
      </w:pPr>
      <w:r w:rsidRPr="004D3863">
        <w:rPr>
          <w:sz w:val="24"/>
          <w:szCs w:val="24"/>
        </w:rPr>
        <w:t>Concejala de Bog</w:t>
      </w:r>
      <w:r w:rsidRPr="004D3863">
        <w:rPr>
          <w:sz w:val="24"/>
          <w:szCs w:val="24"/>
        </w:rPr>
        <w:t>otá</w:t>
      </w:r>
    </w:p>
    <w:p w:rsidR="00B22B98" w:rsidRPr="004D3863" w:rsidRDefault="006A5DDF">
      <w:pPr>
        <w:ind w:left="219"/>
        <w:rPr>
          <w:sz w:val="24"/>
          <w:szCs w:val="24"/>
        </w:rPr>
      </w:pPr>
      <w:r w:rsidRPr="004D3863">
        <w:rPr>
          <w:sz w:val="24"/>
          <w:szCs w:val="24"/>
        </w:rPr>
        <w:t>PDA – Pacto Histórico</w:t>
      </w:r>
    </w:p>
    <w:p w:rsidR="00B22B98" w:rsidRPr="004D3863" w:rsidRDefault="00B22B98">
      <w:pPr>
        <w:ind w:left="219"/>
        <w:jc w:val="both"/>
        <w:rPr>
          <w:sz w:val="24"/>
          <w:szCs w:val="24"/>
        </w:rPr>
      </w:pPr>
    </w:p>
    <w:p w:rsidR="00B22B98" w:rsidRPr="004D3863" w:rsidRDefault="006A5DDF">
      <w:pPr>
        <w:pBdr>
          <w:top w:val="nil"/>
          <w:left w:val="nil"/>
          <w:bottom w:val="nil"/>
          <w:right w:val="nil"/>
          <w:between w:val="nil"/>
        </w:pBdr>
        <w:ind w:left="219" w:right="118"/>
        <w:jc w:val="both"/>
        <w:rPr>
          <w:sz w:val="24"/>
          <w:szCs w:val="24"/>
        </w:rPr>
      </w:pPr>
      <w:r w:rsidRPr="004D3863">
        <w:rPr>
          <w:color w:val="000000"/>
          <w:sz w:val="24"/>
          <w:szCs w:val="24"/>
        </w:rPr>
        <w:t xml:space="preserve">Proyecto: </w:t>
      </w:r>
      <w:proofErr w:type="spellStart"/>
      <w:r w:rsidRPr="004D3863">
        <w:rPr>
          <w:sz w:val="24"/>
          <w:szCs w:val="24"/>
        </w:rPr>
        <w:t>Shameel</w:t>
      </w:r>
      <w:proofErr w:type="spellEnd"/>
      <w:r w:rsidRPr="004D3863">
        <w:rPr>
          <w:sz w:val="24"/>
          <w:szCs w:val="24"/>
        </w:rPr>
        <w:t xml:space="preserve"> </w:t>
      </w:r>
      <w:proofErr w:type="spellStart"/>
      <w:r w:rsidRPr="004D3863">
        <w:rPr>
          <w:sz w:val="24"/>
          <w:szCs w:val="24"/>
        </w:rPr>
        <w:t>Thahir</w:t>
      </w:r>
      <w:proofErr w:type="spellEnd"/>
      <w:r w:rsidRPr="004D3863">
        <w:rPr>
          <w:sz w:val="24"/>
          <w:szCs w:val="24"/>
        </w:rPr>
        <w:t xml:space="preserve"> Silva</w:t>
      </w:r>
    </w:p>
    <w:sectPr w:rsidR="00B22B98" w:rsidRPr="004D3863">
      <w:headerReference w:type="default" r:id="rId8"/>
      <w:footerReference w:type="default" r:id="rId9"/>
      <w:pgSz w:w="12240" w:h="15840"/>
      <w:pgMar w:top="1680" w:right="1560" w:bottom="1260" w:left="1480" w:header="461" w:footer="107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DDF" w:rsidRDefault="006A5DDF">
      <w:r>
        <w:separator/>
      </w:r>
    </w:p>
  </w:endnote>
  <w:endnote w:type="continuationSeparator" w:id="0">
    <w:p w:rsidR="006A5DDF" w:rsidRDefault="006A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MT">
    <w:altName w:val="Times New Roman"/>
    <w:charset w:val="01"/>
    <w:family w:val="swiss"/>
    <w:pitch w:val="variable"/>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8" w:rsidRDefault="006A5DDF">
    <w:pPr>
      <w:pBdr>
        <w:top w:val="nil"/>
        <w:left w:val="nil"/>
        <w:bottom w:val="nil"/>
        <w:right w:val="nil"/>
        <w:between w:val="nil"/>
      </w:pBdr>
      <w:spacing w:line="14" w:lineRule="auto"/>
      <w:rPr>
        <w:rFonts w:ascii="Arial" w:eastAsia="Arial" w:hAnsi="Arial" w:cs="Arial"/>
        <w:color w:val="000000"/>
        <w:sz w:val="20"/>
        <w:szCs w:val="20"/>
      </w:rPr>
    </w:pPr>
    <w:r>
      <w:rPr>
        <w:noProof/>
        <w:lang w:val="es-CO"/>
      </w:rPr>
      <mc:AlternateContent>
        <mc:Choice Requires="wpg">
          <w:drawing>
            <wp:anchor distT="0" distB="0" distL="0" distR="0" simplePos="0" relativeHeight="251659264" behindDoc="1" locked="0" layoutInCell="1" hidden="0" allowOverlap="1">
              <wp:simplePos x="0" y="0"/>
              <wp:positionH relativeFrom="column">
                <wp:posOffset>2400300</wp:posOffset>
              </wp:positionH>
              <wp:positionV relativeFrom="paragraph">
                <wp:posOffset>9220200</wp:posOffset>
              </wp:positionV>
              <wp:extent cx="1062355" cy="198120"/>
              <wp:effectExtent l="0" t="0" r="0" b="0"/>
              <wp:wrapNone/>
              <wp:docPr id="14" name="Rectángulo 14"/>
              <wp:cNvGraphicFramePr/>
              <a:graphic xmlns:a="http://schemas.openxmlformats.org/drawingml/2006/main">
                <a:graphicData uri="http://schemas.microsoft.com/office/word/2010/wordprocessingShape">
                  <wps:wsp>
                    <wps:cNvSpPr/>
                    <wps:spPr>
                      <a:xfrm>
                        <a:off x="4824348" y="3690465"/>
                        <a:ext cx="1043305" cy="179070"/>
                      </a:xfrm>
                      <a:prstGeom prst="rect">
                        <a:avLst/>
                      </a:prstGeom>
                      <a:noFill/>
                      <a:ln>
                        <a:noFill/>
                      </a:ln>
                    </wps:spPr>
                    <wps:txbx>
                      <w:txbxContent>
                        <w:p w:rsidR="00B22B98" w:rsidRDefault="006A5DDF">
                          <w:pPr>
                            <w:spacing w:before="17"/>
                            <w:ind w:left="20" w:firstLine="40"/>
                            <w:textDirection w:val="btLr"/>
                          </w:pPr>
                          <w:proofErr w:type="gramStart"/>
                          <w:r>
                            <w:rPr>
                              <w:rFonts w:ascii="Arial" w:eastAsia="Arial" w:hAnsi="Arial" w:cs="Arial"/>
                              <w:color w:val="000000"/>
                              <w:sz w:val="21"/>
                            </w:rPr>
                            <w:t xml:space="preserve">Página </w:t>
                          </w:r>
                          <w:r>
                            <w:rPr>
                              <w:rFonts w:ascii="Arial" w:eastAsia="Arial" w:hAnsi="Arial" w:cs="Arial"/>
                              <w:b/>
                              <w:color w:val="000000"/>
                              <w:sz w:val="21"/>
                            </w:rPr>
                            <w:t xml:space="preserve"> PAGE</w:t>
                          </w:r>
                          <w:proofErr w:type="gramEnd"/>
                          <w:r>
                            <w:rPr>
                              <w:rFonts w:ascii="Arial" w:eastAsia="Arial" w:hAnsi="Arial" w:cs="Arial"/>
                              <w:b/>
                              <w:color w:val="000000"/>
                              <w:sz w:val="21"/>
                            </w:rPr>
                            <w:t xml:space="preserve"> 1 </w:t>
                          </w:r>
                          <w:r>
                            <w:rPr>
                              <w:rFonts w:ascii="Arial" w:eastAsia="Arial" w:hAnsi="Arial" w:cs="Arial"/>
                              <w:color w:val="000000"/>
                              <w:sz w:val="21"/>
                            </w:rPr>
                            <w:t xml:space="preserve">de </w:t>
                          </w:r>
                          <w:r>
                            <w:rPr>
                              <w:rFonts w:ascii="Arial" w:eastAsia="Arial" w:hAnsi="Arial" w:cs="Arial"/>
                              <w:b/>
                              <w:color w:val="000000"/>
                              <w:sz w:val="21"/>
                            </w:rPr>
                            <w:t xml:space="preserve"> NUMPAGES 11</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2400300</wp:posOffset>
              </wp:positionH>
              <wp:positionV relativeFrom="paragraph">
                <wp:posOffset>9220200</wp:posOffset>
              </wp:positionV>
              <wp:extent cx="1062355" cy="198120"/>
              <wp:effectExtent b="0" l="0" r="0" t="0"/>
              <wp:wrapNone/>
              <wp:docPr id="14"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062355" cy="19812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DDF" w:rsidRDefault="006A5DDF">
      <w:r>
        <w:separator/>
      </w:r>
    </w:p>
  </w:footnote>
  <w:footnote w:type="continuationSeparator" w:id="0">
    <w:p w:rsidR="006A5DDF" w:rsidRDefault="006A5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8" w:rsidRDefault="00B22B98">
    <w:pPr>
      <w:pBdr>
        <w:top w:val="nil"/>
        <w:left w:val="nil"/>
        <w:bottom w:val="nil"/>
        <w:right w:val="nil"/>
        <w:between w:val="nil"/>
      </w:pBdr>
      <w:spacing w:line="14" w:lineRule="auto"/>
      <w:rPr>
        <w:rFonts w:ascii="Arial" w:eastAsia="Arial" w:hAnsi="Arial" w:cs="Arial"/>
        <w:color w:val="000000"/>
        <w:sz w:val="20"/>
        <w:szCs w:val="20"/>
      </w:rPr>
    </w:pPr>
  </w:p>
  <w:tbl>
    <w:tblPr>
      <w:tblStyle w:val="a2"/>
      <w:tblW w:w="8833"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9"/>
      <w:gridCol w:w="2233"/>
    </w:tblGrid>
    <w:tr w:rsidR="00B22B98">
      <w:trPr>
        <w:trHeight w:val="393"/>
      </w:trPr>
      <w:tc>
        <w:tcPr>
          <w:tcW w:w="2362" w:type="dxa"/>
          <w:vMerge w:val="restart"/>
        </w:tcPr>
        <w:p w:rsidR="00B22B98" w:rsidRDefault="00B22B98">
          <w:pPr>
            <w:pBdr>
              <w:top w:val="nil"/>
              <w:left w:val="nil"/>
              <w:bottom w:val="nil"/>
              <w:right w:val="nil"/>
              <w:between w:val="nil"/>
            </w:pBdr>
            <w:rPr>
              <w:rFonts w:ascii="Times New Roman" w:eastAsia="Times New Roman" w:hAnsi="Times New Roman" w:cs="Times New Roman"/>
              <w:color w:val="000000"/>
            </w:rPr>
          </w:pPr>
        </w:p>
      </w:tc>
      <w:tc>
        <w:tcPr>
          <w:tcW w:w="4239" w:type="dxa"/>
        </w:tcPr>
        <w:p w:rsidR="00B22B98" w:rsidRDefault="006A5DDF">
          <w:pPr>
            <w:pBdr>
              <w:top w:val="nil"/>
              <w:left w:val="nil"/>
              <w:bottom w:val="nil"/>
              <w:right w:val="nil"/>
              <w:between w:val="nil"/>
            </w:pBdr>
            <w:spacing w:before="85"/>
            <w:ind w:left="679"/>
            <w:rPr>
              <w:rFonts w:ascii="Arial" w:eastAsia="Arial" w:hAnsi="Arial" w:cs="Arial"/>
              <w:color w:val="000000"/>
              <w:sz w:val="17"/>
              <w:szCs w:val="17"/>
            </w:rPr>
          </w:pPr>
          <w:r>
            <w:rPr>
              <w:rFonts w:ascii="Arial" w:eastAsia="Arial" w:hAnsi="Arial" w:cs="Arial"/>
              <w:color w:val="000000"/>
              <w:sz w:val="17"/>
              <w:szCs w:val="17"/>
            </w:rPr>
            <w:t>PROCESO GESTIÓN NORMATIVA</w:t>
          </w:r>
        </w:p>
      </w:tc>
      <w:tc>
        <w:tcPr>
          <w:tcW w:w="2233" w:type="dxa"/>
        </w:tcPr>
        <w:p w:rsidR="00B22B98" w:rsidRDefault="006A5DDF">
          <w:pPr>
            <w:pBdr>
              <w:top w:val="nil"/>
              <w:left w:val="nil"/>
              <w:bottom w:val="nil"/>
              <w:right w:val="nil"/>
              <w:between w:val="nil"/>
            </w:pBdr>
            <w:spacing w:before="89"/>
            <w:ind w:left="109"/>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GNV-FO-002</w:t>
          </w:r>
        </w:p>
      </w:tc>
    </w:tr>
    <w:tr w:rsidR="00B22B98">
      <w:trPr>
        <w:trHeight w:val="397"/>
      </w:trPr>
      <w:tc>
        <w:tcPr>
          <w:tcW w:w="2362" w:type="dxa"/>
          <w:vMerge/>
        </w:tcPr>
        <w:p w:rsidR="00B22B98" w:rsidRDefault="00B22B98">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val="restart"/>
        </w:tcPr>
        <w:p w:rsidR="00B22B98" w:rsidRDefault="00B22B98">
          <w:pPr>
            <w:pBdr>
              <w:top w:val="nil"/>
              <w:left w:val="nil"/>
              <w:bottom w:val="nil"/>
              <w:right w:val="nil"/>
              <w:between w:val="nil"/>
            </w:pBdr>
            <w:spacing w:before="63"/>
            <w:rPr>
              <w:rFonts w:ascii="Times New Roman" w:eastAsia="Times New Roman" w:hAnsi="Times New Roman" w:cs="Times New Roman"/>
              <w:color w:val="000000"/>
              <w:sz w:val="19"/>
              <w:szCs w:val="19"/>
            </w:rPr>
          </w:pPr>
        </w:p>
        <w:p w:rsidR="00B22B98" w:rsidRDefault="006A5DDF">
          <w:pPr>
            <w:pBdr>
              <w:top w:val="nil"/>
              <w:left w:val="nil"/>
              <w:bottom w:val="nil"/>
              <w:right w:val="nil"/>
              <w:between w:val="nil"/>
            </w:pBdr>
            <w:spacing w:before="1"/>
            <w:ind w:left="713"/>
            <w:rPr>
              <w:rFonts w:ascii="Arial" w:eastAsia="Arial" w:hAnsi="Arial" w:cs="Arial"/>
              <w:color w:val="000000"/>
              <w:sz w:val="19"/>
              <w:szCs w:val="19"/>
            </w:rPr>
          </w:pPr>
          <w:r>
            <w:rPr>
              <w:rFonts w:ascii="Arial" w:eastAsia="Arial" w:hAnsi="Arial" w:cs="Arial"/>
              <w:color w:val="000000"/>
              <w:sz w:val="19"/>
              <w:szCs w:val="19"/>
            </w:rPr>
            <w:t>PRESENTACIÓN PONENCIAS</w:t>
          </w:r>
        </w:p>
      </w:tc>
      <w:tc>
        <w:tcPr>
          <w:tcW w:w="2233" w:type="dxa"/>
        </w:tcPr>
        <w:p w:rsidR="00B22B98" w:rsidRDefault="006A5DDF">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VERSIÓN:  01</w:t>
          </w:r>
        </w:p>
      </w:tc>
    </w:tr>
    <w:tr w:rsidR="00B22B98">
      <w:trPr>
        <w:trHeight w:val="398"/>
      </w:trPr>
      <w:tc>
        <w:tcPr>
          <w:tcW w:w="2362" w:type="dxa"/>
          <w:vMerge/>
        </w:tcPr>
        <w:p w:rsidR="00B22B98" w:rsidRDefault="00B22B98">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tcPr>
        <w:p w:rsidR="00B22B98" w:rsidRDefault="00B22B98">
          <w:pPr>
            <w:pBdr>
              <w:top w:val="nil"/>
              <w:left w:val="nil"/>
              <w:bottom w:val="nil"/>
              <w:right w:val="nil"/>
              <w:between w:val="nil"/>
            </w:pBdr>
            <w:spacing w:line="276" w:lineRule="auto"/>
            <w:rPr>
              <w:rFonts w:ascii="Arial" w:eastAsia="Arial" w:hAnsi="Arial" w:cs="Arial"/>
              <w:color w:val="000000"/>
              <w:sz w:val="16"/>
              <w:szCs w:val="16"/>
            </w:rPr>
          </w:pPr>
        </w:p>
      </w:tc>
      <w:tc>
        <w:tcPr>
          <w:tcW w:w="2233" w:type="dxa"/>
        </w:tcPr>
        <w:p w:rsidR="00B22B98" w:rsidRDefault="006A5DDF">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FECHA: 14--Nov-2019</w:t>
          </w:r>
        </w:p>
      </w:tc>
    </w:tr>
  </w:tbl>
  <w:p w:rsidR="00B22B98" w:rsidRDefault="006A5DDF">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i/>
        <w:noProof/>
        <w:color w:val="000000"/>
        <w:sz w:val="24"/>
        <w:szCs w:val="24"/>
        <w:lang w:val="es-CO"/>
      </w:rPr>
      <w:drawing>
        <wp:anchor distT="0" distB="0" distL="0" distR="0" simplePos="0" relativeHeight="251658240" behindDoc="1" locked="0" layoutInCell="1" hidden="0" allowOverlap="1">
          <wp:simplePos x="0" y="0"/>
          <wp:positionH relativeFrom="page">
            <wp:posOffset>1420494</wp:posOffset>
          </wp:positionH>
          <wp:positionV relativeFrom="page">
            <wp:posOffset>306706</wp:posOffset>
          </wp:positionV>
          <wp:extent cx="752474" cy="752473"/>
          <wp:effectExtent l="0" t="0" r="0" b="0"/>
          <wp:wrapNone/>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4" cy="75247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65D00"/>
    <w:multiLevelType w:val="multilevel"/>
    <w:tmpl w:val="08D42A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DA5D9D"/>
    <w:multiLevelType w:val="multilevel"/>
    <w:tmpl w:val="10CCB7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2D7A71"/>
    <w:multiLevelType w:val="multilevel"/>
    <w:tmpl w:val="36DACAD8"/>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abstractNum w:abstractNumId="3" w15:restartNumberingAfterBreak="0">
    <w:nsid w:val="77BF3DBB"/>
    <w:multiLevelType w:val="multilevel"/>
    <w:tmpl w:val="E0C81620"/>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B98"/>
    <w:rsid w:val="004D3863"/>
    <w:rsid w:val="006A5DDF"/>
    <w:rsid w:val="00B22B9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B98C8-7D97-4B14-A42E-D35548C7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C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rPr>
  </w:style>
  <w:style w:type="paragraph" w:styleId="Ttulo1">
    <w:name w:val="heading 1"/>
    <w:basedOn w:val="Normal"/>
    <w:uiPriority w:val="1"/>
    <w:qFormat/>
    <w:pPr>
      <w:ind w:left="939" w:hanging="720"/>
      <w:outlineLvl w:val="0"/>
    </w:pPr>
    <w:rPr>
      <w:rFonts w:ascii="Arial" w:eastAsia="Arial" w:hAnsi="Arial" w:cs="Arial"/>
      <w:b/>
      <w:bCs/>
      <w:sz w:val="24"/>
      <w:szCs w:val="24"/>
    </w:rPr>
  </w:style>
  <w:style w:type="paragraph" w:styleId="Ttulo2">
    <w:name w:val="heading 2"/>
    <w:basedOn w:val="Normal"/>
    <w:uiPriority w:val="1"/>
    <w:qFormat/>
    <w:pPr>
      <w:ind w:left="219"/>
      <w:outlineLvl w:val="1"/>
    </w:pPr>
    <w:rPr>
      <w:rFonts w:ascii="Arial" w:eastAsia="Arial" w:hAnsi="Arial" w:cs="Arial"/>
      <w:b/>
      <w:bCs/>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rFonts w:ascii="Arial" w:eastAsia="Arial" w:hAnsi="Arial" w:cs="Arial"/>
      <w:i/>
      <w:iCs/>
      <w:sz w:val="24"/>
      <w:szCs w:val="24"/>
    </w:rPr>
  </w:style>
  <w:style w:type="paragraph" w:styleId="Prrafodelista">
    <w:name w:val="List Paragraph"/>
    <w:basedOn w:val="Normal"/>
    <w:uiPriority w:val="34"/>
    <w:qFormat/>
    <w:pPr>
      <w:ind w:left="939" w:right="140" w:hanging="360"/>
      <w:jc w:val="both"/>
    </w:pPr>
  </w:style>
  <w:style w:type="paragraph" w:customStyle="1" w:styleId="TableParagraph">
    <w:name w:val="Table Paragraph"/>
    <w:basedOn w:val="Normal"/>
    <w:uiPriority w:val="1"/>
    <w:qFormat/>
    <w:pPr>
      <w:ind w:left="110"/>
    </w:pPr>
    <w:rPr>
      <w:u w:val="single" w:color="00000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PiqUi+/kd8M8bR83OBwp+iIZDg==">CgMxLjA4AHIhMUpzZ1dBcWVfQ0RtWTRoQWZMbHpLbHNtcGVWcGFQdjdy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1909</Words>
  <Characters>10500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ANDRÉS SALAZAR LADINO</dc:creator>
  <cp:lastModifiedBy>H.CONCEJAL DONKA ATANASSOVA IAKIMOVA</cp:lastModifiedBy>
  <cp:revision>2</cp:revision>
  <dcterms:created xsi:type="dcterms:W3CDTF">2025-05-21T23:10:00Z</dcterms:created>
  <dcterms:modified xsi:type="dcterms:W3CDTF">2025-05-21T23:10:00Z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2023-05-12T00:00:00Z</vt:filetime>
  </property>
  <property fmtid="{D5CDD505-2E9C-101B-9397-08002B2CF9AE}" pid="3" name="Creator">
    <vt:lpwstr>Word</vt:lpwstr>
  </property>
  <property fmtid="{D5CDD505-2E9C-101B-9397-08002B2CF9AE}" pid="4" name="LastSaved">
    <vt:filetime>2024-03-06T00:00:00Z</vt:filetime>
  </property>
  <property fmtid="{D5CDD505-2E9C-101B-9397-08002B2CF9AE}" pid="5" name="Producer">
    <vt:lpwstr>Mac OS X 10.13.6 Quartz PDFContext</vt:lpwstr>
  </property>
</Properties>
</file>